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eastAsia="Calibri"/>
          <w:b/>
          <w:color w:val="10243F"/>
          <w:sz w:val="21"/>
        </w:rPr>
        <w:t>RÉPUBLIQUE TUNISIENNE</w:t>
      </w:r>
    </w:p>
    <w:p>
      <w:pPr>
        <w:spacing w:after="20"/>
        <w:jc w:val="center"/>
      </w:pPr>
      <w:r>
        <w:rPr>
          <w:rFonts w:ascii="Calibri" w:hAnsi="Calibri" w:eastAsia="Calibri"/>
          <w:b w:val="0"/>
          <w:color w:val="5B6577"/>
          <w:sz w:val="18"/>
        </w:rPr>
        <w:t>Ministère de l'Enseignement Supérieur et de la Recherche Scientifique</w:t>
      </w:r>
    </w:p>
    <w:p>
      <w:pPr>
        <w:spacing w:after="20"/>
        <w:jc w:val="center"/>
      </w:pPr>
      <w:r>
        <w:rPr>
          <w:rFonts w:ascii="Calibri" w:hAnsi="Calibri" w:eastAsia="Calibri"/>
          <w:b/>
          <w:color w:val="10243F"/>
          <w:sz w:val="23"/>
        </w:rPr>
        <w:t>UNIVERSITÉ PRIVÉE TEK-UP</w:t>
      </w:r>
    </w:p>
    <w:p>
      <w:pPr>
        <w:spacing w:after="20"/>
        <w:jc w:val="center"/>
      </w:pPr>
      <w:r>
        <w:rPr>
          <w:rFonts w:ascii="Calibri" w:hAnsi="Calibri" w:eastAsia="Calibri"/>
          <w:b w:val="0"/>
          <w:color w:val="5B6577"/>
          <w:sz w:val="17"/>
        </w:rPr>
        <w:t>École Supérieure des Technologies de l'Information et de la Communication</w:t>
      </w:r>
    </w:p>
    <w:p>
      <w:pPr>
        <w:spacing w:before="200" w:after="80"/>
        <w:jc w:val="center"/>
      </w:pPr>
      <w:r>
        <w:drawing>
          <wp:inline xmlns:a="http://schemas.openxmlformats.org/drawingml/2006/main" xmlns:pic="http://schemas.openxmlformats.org/drawingml/2006/picture">
            <wp:extent cx="1512000" cy="556066"/>
            <wp:docPr id="1" name="Picture 1"/>
            <wp:cNvGraphicFramePr>
              <a:graphicFrameLocks noChangeAspect="1"/>
            </wp:cNvGraphicFramePr>
            <a:graphic>
              <a:graphicData uri="http://schemas.openxmlformats.org/drawingml/2006/picture">
                <pic:pic>
                  <pic:nvPicPr>
                    <pic:cNvPr id="0" name="logoTek-up_university.png"/>
                    <pic:cNvPicPr/>
                  </pic:nvPicPr>
                  <pic:blipFill>
                    <a:blip r:embed="rId13"/>
                    <a:stretch>
                      <a:fillRect/>
                    </a:stretch>
                  </pic:blipFill>
                  <pic:spPr>
                    <a:xfrm>
                      <a:off x="0" y="0"/>
                      <a:ext cx="1512000" cy="556066"/>
                    </a:xfrm>
                    <a:prstGeom prst="rect"/>
                  </pic:spPr>
                </pic:pic>
              </a:graphicData>
            </a:graphic>
          </wp:inline>
        </w:drawing>
      </w:r>
    </w:p>
    <w:p>
      <w:pPr>
        <w:spacing w:after="360"/>
        <w:jc w:val="center"/>
      </w:pPr>
      <w:r>
        <w:rPr>
          <w:rFonts w:ascii="Calibri" w:hAnsi="Calibri" w:eastAsia="Calibri"/>
          <w:color w:val="5B6577"/>
          <w:sz w:val="18"/>
        </w:rPr>
        <w:t>Spécialité SSIR — Sécurité des Systèmes d'Information et Réseaux</w:t>
      </w:r>
    </w:p>
    <w:p>
      <w:pPr>
        <w:pBdr>
          <w:top w:val="single" w:sz="12" w:space="4" w:color="10243F"/>
        </w:pBdr>
        <w:spacing w:before="120" w:after="80"/>
        <w:jc w:val="center"/>
      </w:pPr>
      <w:r>
        <w:rPr>
          <w:rFonts w:ascii="Calibri" w:hAnsi="Calibri" w:eastAsia="Calibri"/>
          <w:b/>
          <w:color w:val="10243F"/>
          <w:sz w:val="38"/>
        </w:rPr>
        <w:t>CONCEPTION ET RÉALISATION</w:t>
        <w:br/>
        <w:t>D'UN SERVEUR MCP INTELLIGENT</w:t>
        <w:br/>
        <w:t>DE THREAT INTELLIGENCE</w:t>
      </w:r>
    </w:p>
    <w:p>
      <w:pPr>
        <w:pBdr>
          <w:bottom w:val="single" w:sz="12" w:space="4" w:color="10243F"/>
        </w:pBdr>
        <w:spacing w:after="120"/>
        <w:jc w:val="center"/>
      </w:pPr>
      <w:r>
        <w:rPr>
          <w:rFonts w:ascii="Calibri" w:hAnsi="Calibri" w:eastAsia="Calibri"/>
          <w:i/>
          <w:color w:val="2F6DB3"/>
          <w:sz w:val="24"/>
        </w:rPr>
        <w:t>Protection du secret, étiquetage et traçabilité de bout en bout</w:t>
      </w:r>
    </w:p>
    <w:p>
      <w:pPr>
        <w:spacing w:before="280" w:after="440"/>
        <w:jc w:val="center"/>
      </w:pPr>
      <w:r>
        <w:rPr>
          <w:rFonts w:ascii="Calibri" w:hAnsi="Calibri" w:eastAsia="Calibri"/>
          <w:color w:val="5B6577"/>
          <w:sz w:val="21"/>
        </w:rPr>
        <w:t>Rapport de projet — « Art de protection du secret » &amp; « Cyber OPS »</w:t>
      </w:r>
    </w:p>
    <w:tbl>
      <w:tblPr>
        <w:tblW w:type="auto" w:w="0"/>
        <w:jc w:val="center"/>
        <w:tblLayout w:type="fixed"/>
        <w:tblLook w:firstColumn="1" w:firstRow="1" w:lastColumn="0" w:lastRow="0" w:noHBand="0" w:noVBand="1" w:val="04A0"/>
        <w:tblCellMar>
          <w:top w:w="60" w:type="dxa"/>
          <w:left w:w="80" w:type="dxa"/>
          <w:bottom w:w="60" w:type="dxa"/>
          <w:right w:w="80" w:type="dxa"/>
        </w:tblCellMar>
      </w:tblPr>
      <w:tblGrid>
        <w:gridCol w:w="4819"/>
        <w:gridCol w:w="4819"/>
      </w:tblGrid>
      <w:tr>
        <w:tc>
          <w:tcPr>
            <w:tcW w:type="dxa" w:w="2835"/>
          </w:tcPr>
          <w:p>
            <w:pPr>
              <w:spacing w:after="0"/>
            </w:pPr>
            <w:r>
              <w:rPr>
                <w:rFonts w:ascii="Calibri" w:hAnsi="Calibri" w:eastAsia="Calibri"/>
                <w:b/>
                <w:color w:val="10243F"/>
                <w:sz w:val="19"/>
              </w:rPr>
              <w:t>Réalisé par</w:t>
            </w:r>
          </w:p>
        </w:tc>
        <w:tc>
          <w:tcPr>
            <w:tcW w:type="dxa" w:w="5783"/>
          </w:tcPr>
          <w:p>
            <w:pPr>
              <w:spacing w:after="0"/>
            </w:pPr>
            <w:r>
              <w:rPr>
                <w:rFonts w:ascii="Calibri" w:hAnsi="Calibri" w:eastAsia="Calibri"/>
                <w:b w:val="0"/>
                <w:color w:val="1B2433"/>
                <w:sz w:val="19"/>
              </w:rPr>
              <w:t>Mzabi Sirine  ·  Khaled Ellif</w:t>
            </w:r>
          </w:p>
        </w:tc>
      </w:tr>
      <w:tr>
        <w:tc>
          <w:tcPr>
            <w:tcW w:type="dxa" w:w="2835"/>
          </w:tcPr>
          <w:p>
            <w:pPr>
              <w:spacing w:after="0"/>
            </w:pPr>
            <w:r>
              <w:rPr>
                <w:rFonts w:ascii="Calibri" w:hAnsi="Calibri" w:eastAsia="Calibri"/>
                <w:b/>
                <w:color w:val="10243F"/>
                <w:sz w:val="19"/>
              </w:rPr>
              <w:t>Encadrant académique</w:t>
            </w:r>
          </w:p>
        </w:tc>
        <w:tc>
          <w:tcPr>
            <w:tcW w:type="dxa" w:w="5783"/>
          </w:tcPr>
          <w:p>
            <w:pPr>
              <w:spacing w:after="0"/>
            </w:pPr>
            <w:r>
              <w:rPr>
                <w:rFonts w:ascii="Calibri" w:hAnsi="Calibri" w:eastAsia="Calibri"/>
                <w:b w:val="0"/>
                <w:color w:val="1B2433"/>
                <w:sz w:val="19"/>
              </w:rPr>
              <w:t>Tarek Hdji</w:t>
            </w:r>
          </w:p>
        </w:tc>
      </w:tr>
      <w:tr>
        <w:tc>
          <w:tcPr>
            <w:tcW w:type="dxa" w:w="2835"/>
          </w:tcPr>
          <w:p>
            <w:pPr>
              <w:spacing w:after="0"/>
            </w:pPr>
            <w:r>
              <w:rPr>
                <w:rFonts w:ascii="Calibri" w:hAnsi="Calibri" w:eastAsia="Calibri"/>
                <w:b/>
                <w:color w:val="10243F"/>
                <w:sz w:val="19"/>
              </w:rPr>
              <w:t>Validation 1</w:t>
            </w:r>
          </w:p>
        </w:tc>
        <w:tc>
          <w:tcPr>
            <w:tcW w:type="dxa" w:w="5783"/>
          </w:tcPr>
          <w:p>
            <w:pPr>
              <w:spacing w:after="0"/>
            </w:pPr>
            <w:r>
              <w:rPr>
                <w:rFonts w:ascii="Calibri" w:hAnsi="Calibri" w:eastAsia="Calibri"/>
                <w:b w:val="0"/>
                <w:color w:val="1B2433"/>
                <w:sz w:val="19"/>
              </w:rPr>
              <w:t>Architecture et exigences (P0 à P3)</w:t>
            </w:r>
          </w:p>
        </w:tc>
      </w:tr>
      <w:tr>
        <w:tc>
          <w:tcPr>
            <w:tcW w:type="dxa" w:w="2835"/>
          </w:tcPr>
          <w:p>
            <w:pPr>
              <w:spacing w:after="0"/>
            </w:pPr>
            <w:r>
              <w:rPr>
                <w:rFonts w:ascii="Calibri" w:hAnsi="Calibri" w:eastAsia="Calibri"/>
                <w:b/>
                <w:color w:val="10243F"/>
                <w:sz w:val="19"/>
              </w:rPr>
              <w:t>Validation 2</w:t>
            </w:r>
          </w:p>
        </w:tc>
        <w:tc>
          <w:tcPr>
            <w:tcW w:type="dxa" w:w="5783"/>
          </w:tcPr>
          <w:p>
            <w:pPr>
              <w:spacing w:after="0"/>
            </w:pPr>
            <w:r>
              <w:rPr>
                <w:rFonts w:ascii="Calibri" w:hAnsi="Calibri" w:eastAsia="Calibri"/>
                <w:b w:val="0"/>
                <w:color w:val="1B2433"/>
                <w:sz w:val="19"/>
              </w:rPr>
              <w:t>Réalisation, durcissement et tests (P4–P5)</w:t>
            </w:r>
          </w:p>
        </w:tc>
      </w:tr>
    </w:tbl>
    <w:p>
      <w:pPr>
        <w:spacing w:before="560" w:after="40"/>
        <w:jc w:val="center"/>
      </w:pPr>
      <w:r>
        <w:rPr>
          <w:rFonts w:ascii="Calibri" w:hAnsi="Calibri" w:eastAsia="Calibri"/>
          <w:b/>
          <w:color w:val="10243F"/>
          <w:sz w:val="21"/>
        </w:rPr>
        <w:t>Année universitaire 2026–2027</w:t>
      </w:r>
    </w:p>
    <w:p>
      <w:pPr>
        <w:spacing w:after="0"/>
        <w:jc w:val="center"/>
      </w:pPr>
      <w:r>
        <w:rPr>
          <w:rFonts w:ascii="Calibri" w:hAnsi="Calibri" w:eastAsia="Calibri"/>
          <w:i/>
          <w:color w:val="5B6577"/>
          <w:sz w:val="16"/>
        </w:rPr>
        <w:t>Version 1.0 — 27 octobre 2026 · données synthétiques · laboratoire hors ligne</w:t>
      </w:r>
    </w:p>
    <w:p>
      <w:pPr>
        <w:spacing w:before="320"/>
        <w:jc w:val="center"/>
      </w:pPr>
      <w:r>
        <w:rPr>
          <w:rFonts w:ascii="Calibri" w:hAnsi="Calibri" w:eastAsia="Calibri"/>
          <w:i/>
          <w:color w:val="5B6577"/>
          <w:sz w:val="14"/>
        </w:rPr>
        <w:t>Logo officiel : tek-up.de — document académique, usage non commercial.</w:t>
      </w:r>
    </w:p>
    <w:p>
      <w:r>
        <w:br w:type="page"/>
      </w:r>
    </w:p>
    <w:p>
      <w:pPr>
        <w:pStyle w:val="Titreliminaire"/>
        <w:pBdr>
          <w:bottom w:val="single" w:sz="8" w:space="4" w:color="B08A3E"/>
        </w:pBdr>
      </w:pPr>
      <w:r>
        <w:rPr>
          <w:rFonts w:ascii="Calibri" w:hAnsi="Calibri" w:eastAsia="Calibri"/>
          <w:b/>
          <w:color w:val="10243F"/>
          <w:sz w:val="40"/>
        </w:rPr>
        <w:t>Résumé</w:t>
      </w:r>
    </w:p>
    <w:p>
      <w:pPr>
        <w:keepNext w:val="0"/>
      </w:pPr>
      <w:r>
        <w:rPr>
          <w:b w:val="0"/>
          <w:i w:val="0"/>
        </w:rPr>
        <w:t>Ce rapport documente la conception et la réalisation d'un serveur MCP de Threat Intelligence destiné à des agents LLM. Le serveur expose six outils en lecture seule, applique une politique ABAC fondée sur le rôle, la finalité, l'habilitation et les compartiments, étiquette chaque réponse, masque les champs protégés, neutralise les instructions hostiles et journalise chaque décision dans une chaîne d'audit vérifiable. Il fonctionne en stdio, sans réseau sortant, avec la bibliothèque standard de Python.</w:t>
      </w:r>
    </w:p>
    <w:p>
      <w:pPr>
        <w:keepNext w:val="0"/>
      </w:pPr>
      <w:r>
        <w:rPr>
          <w:b w:val="0"/>
          <w:i w:val="0"/>
        </w:rPr>
        <w:t>La campagne de validation comporte 31 scénarios, dont 16 abus : 31/31 réussis, 16/16 abus maîtrisés, latence p95 de 12,42 ms, révocation appliquée en 10 ms, audit complet (115/115 appels) et zéro faiblesse sur les huit contrôles comparés à une maquette naïve. Les limites sont explicites : données synthétiques, détection d'injection heuristique, journal local sans ancrage externe, posture déclarative et absence de transport réseau. Le rapport distingue systématiquement les éléments testés, configurés et proposés.</w:t>
      </w:r>
    </w:p>
    <w:p>
      <w:pPr>
        <w:keepNext w:val="0"/>
      </w:pPr>
      <w:r>
        <w:rPr>
          <w:b/>
          <w:i w:val="0"/>
          <w:sz w:val="21"/>
        </w:rPr>
        <w:t>Mots-clés :</w:t>
      </w:r>
      <w:r>
        <w:rPr>
          <w:b w:val="0"/>
          <w:i w:val="0"/>
          <w:sz w:val="21"/>
        </w:rPr>
        <w:t xml:space="preserve"> Model Context Protocol, Threat Intelligence, protection du secret, ABAC, étiquetage, prompt injection, journal d'audit, moindre privilège, tests de sécurité.</w:t>
      </w:r>
    </w:p>
    <w:tbl>
      <w:tblPr>
        <w:tblW w:type="auto" w:w="0"/>
        <w:jc w:val="center"/>
        <w:tblLayout w:type="fixed"/>
        <w:tblLook w:firstColumn="1" w:firstRow="1" w:lastColumn="0" w:lastRow="0" w:noHBand="0" w:noVBand="1" w:val="04A0"/>
        <w:tblCellMar>
          <w:top w:w="90" w:type="dxa"/>
          <w:left w:w="140" w:type="dxa"/>
          <w:bottom w:w="90" w:type="dxa"/>
          <w:right w:w="140" w:type="dxa"/>
        </w:tblCellMar>
      </w:tblPr>
      <w:tblGrid>
        <w:gridCol w:w="9638"/>
      </w:tblGrid>
      <w:tr>
        <w:tc>
          <w:tcPr>
            <w:tcW w:type="dxa" w:w="9411"/>
            <w:shd w:val="clear" w:color="auto" w:fill="EEF4FB"/>
            <w:tcBorders>
              <w:top w:val="nil"/>
              <w:bottom w:val="nil"/>
              <w:right w:val="nil"/>
              <w:left w:val="single" w:sz="18" w:color="2F6DB3"/>
            </w:tcBorders>
          </w:tcPr>
          <w:p>
            <w:pPr>
              <w:spacing w:after="40"/>
            </w:pPr>
            <w:r>
              <w:rPr>
                <w:rFonts w:ascii="Calibri" w:hAnsi="Calibri" w:eastAsia="Calibri"/>
                <w:b/>
                <w:color w:val="10243F"/>
                <w:sz w:val="19"/>
              </w:rPr>
              <w:t>Comment lire les statuts</w:t>
            </w:r>
          </w:p>
          <w:p>
            <w:pPr>
              <w:spacing w:after="0"/>
            </w:pPr>
            <w:r>
              <w:rPr>
                <w:b w:val="0"/>
                <w:i w:val="0"/>
                <w:sz w:val="19"/>
              </w:rPr>
              <w:t>« Testé » signifie qu'une commande a produit une preuve conservée. « Configuré » signifie que le mécanisme est en place mais que son intégration réelle reste à faire. « Proposé » signifie que la solution est décrite sans exécution. Aucun élément non testé n'est présenté comme fonctionnel.</w:t>
            </w:r>
          </w:p>
        </w:tc>
      </w:tr>
    </w:tbl>
    <w:p>
      <w:r>
        <w:br w:type="page"/>
      </w:r>
    </w:p>
    <w:p>
      <w:pPr>
        <w:pStyle w:val="Titreliminaire"/>
        <w:pBdr>
          <w:bottom w:val="single" w:sz="8" w:space="4" w:color="B08A3E"/>
        </w:pBdr>
      </w:pPr>
      <w:r>
        <w:rPr>
          <w:rFonts w:ascii="Calibri" w:hAnsi="Calibri" w:eastAsia="Calibri"/>
          <w:b/>
          <w:color w:val="10243F"/>
          <w:sz w:val="40"/>
        </w:rPr>
        <w:t>Sommaire</w:t>
      </w:r>
    </w:p>
    <w:p>
      <w:pPr>
        <w:spacing w:after="0"/>
      </w:pPr>
      <w:r>
        <w:fldChar w:fldCharType="begin"/>
      </w:r>
      <w:r>
        <w:instrText xml:space="preserve"> TOC \o "1-3" \h \z \u </w:instrText>
      </w:r>
      <w:r>
        <w:fldChar w:fldCharType="separate"/>
      </w:r>
    </w:p>
    <w:p>
      <w:pPr>
        <w:pStyle w:val="TOC1"/>
        <w:tabs>
          <w:tab w:pos="9298" w:val="right" w:leader="dot"/>
        </w:tabs>
        <w:spacing w:before="0"/>
        <w:ind w:left="0"/>
      </w:pPr>
      <w:r>
        <w:rPr>
          <w:rFonts w:ascii="Calibri" w:hAnsi="Calibri" w:eastAsia="Calibri"/>
          <w:b/>
          <w:color w:val="1B2433"/>
          <w:sz w:val="21"/>
        </w:rPr>
        <w:t>Introduction générale</w:t>
      </w:r>
      <w:r>
        <w:rPr>
          <w:rFonts w:ascii="Calibri" w:hAnsi="Calibri" w:eastAsia="Calibri"/>
          <w:color w:val="1B2433"/>
          <w:sz w:val="20"/>
        </w:rPr>
        <w:tab/>
        <w:t>6</w:t>
      </w:r>
    </w:p>
    <w:p>
      <w:pPr>
        <w:pStyle w:val="TOC2"/>
        <w:tabs>
          <w:tab w:pos="9298" w:val="right" w:leader="dot"/>
        </w:tabs>
        <w:ind w:left="312"/>
      </w:pPr>
      <w:r>
        <w:rPr>
          <w:rFonts w:ascii="Calibri" w:hAnsi="Calibri" w:eastAsia="Calibri"/>
          <w:b w:val="0"/>
          <w:color w:val="1B2433"/>
          <w:sz w:val="20"/>
        </w:rPr>
        <w:t>Ce que le lecteur peut vérifier</w:t>
      </w:r>
      <w:r>
        <w:rPr>
          <w:rFonts w:ascii="Calibri" w:hAnsi="Calibri" w:eastAsia="Calibri"/>
          <w:color w:val="1B2433"/>
          <w:sz w:val="19"/>
        </w:rPr>
        <w:tab/>
        <w:t>7</w:t>
      </w:r>
    </w:p>
    <w:p>
      <w:pPr>
        <w:pStyle w:val="TOC1"/>
        <w:tabs>
          <w:tab w:pos="9298" w:val="right" w:leader="dot"/>
        </w:tabs>
        <w:spacing w:before="100"/>
        <w:ind w:left="0"/>
      </w:pPr>
      <w:r>
        <w:rPr>
          <w:rFonts w:ascii="Calibri" w:hAnsi="Calibri" w:eastAsia="Calibri"/>
          <w:b/>
          <w:color w:val="1B2433"/>
          <w:sz w:val="21"/>
        </w:rPr>
        <w:t>Partie I — Art de protection du secret</w:t>
      </w:r>
      <w:r>
        <w:rPr>
          <w:rFonts w:ascii="Calibri" w:hAnsi="Calibri" w:eastAsia="Calibri"/>
          <w:color w:val="1B2433"/>
          <w:sz w:val="20"/>
        </w:rPr>
        <w:tab/>
        <w:t>8</w:t>
      </w:r>
    </w:p>
    <w:p>
      <w:pPr>
        <w:pStyle w:val="TOC1"/>
        <w:tabs>
          <w:tab w:pos="9298" w:val="right" w:leader="dot"/>
        </w:tabs>
        <w:spacing w:before="100"/>
        <w:ind w:left="0"/>
      </w:pPr>
      <w:r>
        <w:rPr>
          <w:rFonts w:ascii="Calibri" w:hAnsi="Calibri" w:eastAsia="Calibri"/>
          <w:b/>
          <w:color w:val="1B2433"/>
          <w:sz w:val="21"/>
        </w:rPr>
        <w:t>1. P0 — Cadrage du projet</w:t>
      </w:r>
      <w:r>
        <w:rPr>
          <w:rFonts w:ascii="Calibri" w:hAnsi="Calibri" w:eastAsia="Calibri"/>
          <w:color w:val="1B2433"/>
          <w:sz w:val="20"/>
        </w:rPr>
        <w:tab/>
        <w:t>8</w:t>
      </w:r>
    </w:p>
    <w:p>
      <w:pPr>
        <w:pStyle w:val="TOC2"/>
        <w:tabs>
          <w:tab w:pos="9298" w:val="right" w:leader="dot"/>
        </w:tabs>
        <w:ind w:left="312"/>
      </w:pPr>
      <w:r>
        <w:rPr>
          <w:rFonts w:ascii="Calibri" w:hAnsi="Calibri" w:eastAsia="Calibri"/>
          <w:b w:val="0"/>
          <w:color w:val="1B2433"/>
          <w:sz w:val="20"/>
        </w:rPr>
        <w:t>1.1 Le problème réel, chiffré à notre échelle</w:t>
      </w:r>
      <w:r>
        <w:rPr>
          <w:rFonts w:ascii="Calibri" w:hAnsi="Calibri" w:eastAsia="Calibri"/>
          <w:color w:val="1B2433"/>
          <w:sz w:val="19"/>
        </w:rPr>
        <w:tab/>
        <w:t>8</w:t>
      </w:r>
    </w:p>
    <w:p>
      <w:pPr>
        <w:pStyle w:val="TOC2"/>
        <w:tabs>
          <w:tab w:pos="9298" w:val="right" w:leader="dot"/>
        </w:tabs>
        <w:ind w:left="312"/>
      </w:pPr>
      <w:r>
        <w:rPr>
          <w:rFonts w:ascii="Calibri" w:hAnsi="Calibri" w:eastAsia="Calibri"/>
          <w:b w:val="0"/>
          <w:color w:val="1B2433"/>
          <w:sz w:val="20"/>
        </w:rPr>
        <w:t>1.2 Parties prenantes et attentes</w:t>
      </w:r>
      <w:r>
        <w:rPr>
          <w:rFonts w:ascii="Calibri" w:hAnsi="Calibri" w:eastAsia="Calibri"/>
          <w:color w:val="1B2433"/>
          <w:sz w:val="19"/>
        </w:rPr>
        <w:tab/>
        <w:t>8</w:t>
      </w:r>
    </w:p>
    <w:p>
      <w:pPr>
        <w:pStyle w:val="TOC2"/>
        <w:tabs>
          <w:tab w:pos="9298" w:val="right" w:leader="dot"/>
        </w:tabs>
        <w:ind w:left="312"/>
      </w:pPr>
      <w:r>
        <w:rPr>
          <w:rFonts w:ascii="Calibri" w:hAnsi="Calibri" w:eastAsia="Calibri"/>
          <w:b w:val="0"/>
          <w:color w:val="1B2433"/>
          <w:sz w:val="20"/>
        </w:rPr>
        <w:t>1.3 Périmètre inclus et exclu</w:t>
      </w:r>
      <w:r>
        <w:rPr>
          <w:rFonts w:ascii="Calibri" w:hAnsi="Calibri" w:eastAsia="Calibri"/>
          <w:color w:val="1B2433"/>
          <w:sz w:val="19"/>
        </w:rPr>
        <w:tab/>
        <w:t>9</w:t>
      </w:r>
    </w:p>
    <w:p>
      <w:pPr>
        <w:pStyle w:val="TOC2"/>
        <w:tabs>
          <w:tab w:pos="9298" w:val="right" w:leader="dot"/>
        </w:tabs>
        <w:ind w:left="312"/>
      </w:pPr>
      <w:r>
        <w:rPr>
          <w:rFonts w:ascii="Calibri" w:hAnsi="Calibri" w:eastAsia="Calibri"/>
          <w:b w:val="0"/>
          <w:color w:val="1B2433"/>
          <w:sz w:val="20"/>
        </w:rPr>
        <w:t>1.4 Cinq objectifs mesurables</w:t>
      </w:r>
      <w:r>
        <w:rPr>
          <w:rFonts w:ascii="Calibri" w:hAnsi="Calibri" w:eastAsia="Calibri"/>
          <w:color w:val="1B2433"/>
          <w:sz w:val="19"/>
        </w:rPr>
        <w:tab/>
        <w:t>9</w:t>
      </w:r>
    </w:p>
    <w:p>
      <w:pPr>
        <w:pStyle w:val="TOC2"/>
        <w:tabs>
          <w:tab w:pos="9298" w:val="right" w:leader="dot"/>
        </w:tabs>
        <w:ind w:left="312"/>
      </w:pPr>
      <w:r>
        <w:rPr>
          <w:rFonts w:ascii="Calibri" w:hAnsi="Calibri" w:eastAsia="Calibri"/>
          <w:b w:val="0"/>
          <w:color w:val="1B2433"/>
          <w:sz w:val="20"/>
        </w:rPr>
        <w:t>1.5 Contraintes de réalisation</w:t>
      </w:r>
      <w:r>
        <w:rPr>
          <w:rFonts w:ascii="Calibri" w:hAnsi="Calibri" w:eastAsia="Calibri"/>
          <w:color w:val="1B2433"/>
          <w:sz w:val="19"/>
        </w:rPr>
        <w:tab/>
        <w:t>9</w:t>
      </w:r>
    </w:p>
    <w:p>
      <w:pPr>
        <w:pStyle w:val="TOC2"/>
        <w:tabs>
          <w:tab w:pos="9298" w:val="right" w:leader="dot"/>
        </w:tabs>
        <w:ind w:left="312"/>
      </w:pPr>
      <w:r>
        <w:rPr>
          <w:rFonts w:ascii="Calibri" w:hAnsi="Calibri" w:eastAsia="Calibri"/>
          <w:b w:val="0"/>
          <w:color w:val="1B2433"/>
          <w:sz w:val="20"/>
        </w:rPr>
        <w:t>1.6 Thèse et fil rouge</w:t>
      </w:r>
      <w:r>
        <w:rPr>
          <w:rFonts w:ascii="Calibri" w:hAnsi="Calibri" w:eastAsia="Calibri"/>
          <w:color w:val="1B2433"/>
          <w:sz w:val="19"/>
        </w:rPr>
        <w:tab/>
        <w:t>9</w:t>
      </w:r>
    </w:p>
    <w:p>
      <w:pPr>
        <w:pStyle w:val="TOC2"/>
        <w:tabs>
          <w:tab w:pos="9298" w:val="right" w:leader="dot"/>
        </w:tabs>
        <w:ind w:left="312"/>
      </w:pPr>
      <w:r>
        <w:rPr>
          <w:rFonts w:ascii="Calibri" w:hAnsi="Calibri" w:eastAsia="Calibri"/>
          <w:b w:val="0"/>
          <w:color w:val="1B2433"/>
          <w:sz w:val="20"/>
        </w:rPr>
        <w:t>1.7 Adéquation au sujet et apports propres</w:t>
      </w:r>
      <w:r>
        <w:rPr>
          <w:rFonts w:ascii="Calibri" w:hAnsi="Calibri" w:eastAsia="Calibri"/>
          <w:color w:val="1B2433"/>
          <w:sz w:val="19"/>
        </w:rPr>
        <w:tab/>
        <w:t>10</w:t>
      </w:r>
    </w:p>
    <w:p>
      <w:pPr>
        <w:pStyle w:val="TOC1"/>
        <w:tabs>
          <w:tab w:pos="9298" w:val="right" w:leader="dot"/>
        </w:tabs>
        <w:spacing w:before="100"/>
        <w:ind w:left="0"/>
      </w:pPr>
      <w:r>
        <w:rPr>
          <w:rFonts w:ascii="Calibri" w:hAnsi="Calibri" w:eastAsia="Calibri"/>
          <w:b/>
          <w:color w:val="1B2433"/>
          <w:sz w:val="21"/>
        </w:rPr>
        <w:t>2. P1 — Modèle de menace et exigences</w:t>
      </w:r>
      <w:r>
        <w:rPr>
          <w:rFonts w:ascii="Calibri" w:hAnsi="Calibri" w:eastAsia="Calibri"/>
          <w:color w:val="1B2433"/>
          <w:sz w:val="20"/>
        </w:rPr>
        <w:tab/>
        <w:t>11</w:t>
      </w:r>
    </w:p>
    <w:p>
      <w:pPr>
        <w:pStyle w:val="TOC2"/>
        <w:tabs>
          <w:tab w:pos="9298" w:val="right" w:leader="dot"/>
        </w:tabs>
        <w:ind w:left="312"/>
      </w:pPr>
      <w:r>
        <w:rPr>
          <w:rFonts w:ascii="Calibri" w:hAnsi="Calibri" w:eastAsia="Calibri"/>
          <w:b w:val="0"/>
          <w:color w:val="1B2433"/>
          <w:sz w:val="20"/>
        </w:rPr>
        <w:t>2.1 Actifs et niveaux de secret</w:t>
      </w:r>
      <w:r>
        <w:rPr>
          <w:rFonts w:ascii="Calibri" w:hAnsi="Calibri" w:eastAsia="Calibri"/>
          <w:color w:val="1B2433"/>
          <w:sz w:val="19"/>
        </w:rPr>
        <w:tab/>
        <w:t>11</w:t>
      </w:r>
    </w:p>
    <w:p>
      <w:pPr>
        <w:pStyle w:val="TOC2"/>
        <w:tabs>
          <w:tab w:pos="9298" w:val="right" w:leader="dot"/>
        </w:tabs>
        <w:ind w:left="312"/>
      </w:pPr>
      <w:r>
        <w:rPr>
          <w:rFonts w:ascii="Calibri" w:hAnsi="Calibri" w:eastAsia="Calibri"/>
          <w:b w:val="0"/>
          <w:color w:val="1B2433"/>
          <w:sz w:val="20"/>
        </w:rPr>
        <w:t>2.2 Acteurs et surfaces d'attaque</w:t>
      </w:r>
      <w:r>
        <w:rPr>
          <w:rFonts w:ascii="Calibri" w:hAnsi="Calibri" w:eastAsia="Calibri"/>
          <w:color w:val="1B2433"/>
          <w:sz w:val="19"/>
        </w:rPr>
        <w:tab/>
        <w:t>11</w:t>
      </w:r>
    </w:p>
    <w:p>
      <w:pPr>
        <w:pStyle w:val="TOC2"/>
        <w:tabs>
          <w:tab w:pos="9298" w:val="right" w:leader="dot"/>
        </w:tabs>
        <w:ind w:left="312"/>
      </w:pPr>
      <w:r>
        <w:rPr>
          <w:rFonts w:ascii="Calibri" w:hAnsi="Calibri" w:eastAsia="Calibri"/>
          <w:b w:val="0"/>
          <w:color w:val="1B2433"/>
          <w:sz w:val="20"/>
        </w:rPr>
        <w:t>2.3 Risques classés par probabilité et impact</w:t>
      </w:r>
      <w:r>
        <w:rPr>
          <w:rFonts w:ascii="Calibri" w:hAnsi="Calibri" w:eastAsia="Calibri"/>
          <w:color w:val="1B2433"/>
          <w:sz w:val="19"/>
        </w:rPr>
        <w:tab/>
        <w:t>12</w:t>
      </w:r>
    </w:p>
    <w:p>
      <w:pPr>
        <w:pStyle w:val="TOC2"/>
        <w:tabs>
          <w:tab w:pos="9298" w:val="right" w:leader="dot"/>
        </w:tabs>
        <w:ind w:left="312"/>
      </w:pPr>
      <w:r>
        <w:rPr>
          <w:rFonts w:ascii="Calibri" w:hAnsi="Calibri" w:eastAsia="Calibri"/>
          <w:b w:val="0"/>
          <w:color w:val="1B2433"/>
          <w:sz w:val="20"/>
        </w:rPr>
        <w:t>2.4 Exigences fonctionnelles</w:t>
      </w:r>
      <w:r>
        <w:rPr>
          <w:rFonts w:ascii="Calibri" w:hAnsi="Calibri" w:eastAsia="Calibri"/>
          <w:color w:val="1B2433"/>
          <w:sz w:val="19"/>
        </w:rPr>
        <w:tab/>
        <w:t>12</w:t>
      </w:r>
    </w:p>
    <w:p>
      <w:pPr>
        <w:pStyle w:val="TOC2"/>
        <w:tabs>
          <w:tab w:pos="9298" w:val="right" w:leader="dot"/>
        </w:tabs>
        <w:ind w:left="312"/>
      </w:pPr>
      <w:r>
        <w:rPr>
          <w:rFonts w:ascii="Calibri" w:hAnsi="Calibri" w:eastAsia="Calibri"/>
          <w:b w:val="0"/>
          <w:color w:val="1B2433"/>
          <w:sz w:val="20"/>
        </w:rPr>
        <w:t>2.5 Exigences non fonctionnelles</w:t>
      </w:r>
      <w:r>
        <w:rPr>
          <w:rFonts w:ascii="Calibri" w:hAnsi="Calibri" w:eastAsia="Calibri"/>
          <w:color w:val="1B2433"/>
          <w:sz w:val="19"/>
        </w:rPr>
        <w:tab/>
        <w:t>13</w:t>
      </w:r>
    </w:p>
    <w:p>
      <w:pPr>
        <w:pStyle w:val="TOC2"/>
        <w:tabs>
          <w:tab w:pos="9298" w:val="right" w:leader="dot"/>
        </w:tabs>
        <w:ind w:left="312"/>
      </w:pPr>
      <w:r>
        <w:rPr>
          <w:rFonts w:ascii="Calibri" w:hAnsi="Calibri" w:eastAsia="Calibri"/>
          <w:b w:val="0"/>
          <w:color w:val="1B2433"/>
          <w:sz w:val="20"/>
        </w:rPr>
        <w:t>2.6 Lecture croisée risque → exigence → contrôle</w:t>
      </w:r>
      <w:r>
        <w:rPr>
          <w:rFonts w:ascii="Calibri" w:hAnsi="Calibri" w:eastAsia="Calibri"/>
          <w:color w:val="1B2433"/>
          <w:sz w:val="19"/>
        </w:rPr>
        <w:tab/>
        <w:t>13</w:t>
      </w:r>
    </w:p>
    <w:p>
      <w:pPr>
        <w:pStyle w:val="TOC1"/>
        <w:tabs>
          <w:tab w:pos="9298" w:val="right" w:leader="dot"/>
        </w:tabs>
        <w:spacing w:before="100"/>
        <w:ind w:left="0"/>
      </w:pPr>
      <w:r>
        <w:rPr>
          <w:rFonts w:ascii="Calibri" w:hAnsi="Calibri" w:eastAsia="Calibri"/>
          <w:b/>
          <w:color w:val="1B2433"/>
          <w:sz w:val="21"/>
        </w:rPr>
        <w:t>3. P2 — Étude comparative des solutions</w:t>
      </w:r>
      <w:r>
        <w:rPr>
          <w:rFonts w:ascii="Calibri" w:hAnsi="Calibri" w:eastAsia="Calibri"/>
          <w:color w:val="1B2433"/>
          <w:sz w:val="20"/>
        </w:rPr>
        <w:tab/>
        <w:t>14</w:t>
      </w:r>
    </w:p>
    <w:p>
      <w:pPr>
        <w:pStyle w:val="TOC2"/>
        <w:tabs>
          <w:tab w:pos="9298" w:val="right" w:leader="dot"/>
        </w:tabs>
        <w:ind w:left="312"/>
      </w:pPr>
      <w:r>
        <w:rPr>
          <w:rFonts w:ascii="Calibri" w:hAnsi="Calibri" w:eastAsia="Calibri"/>
          <w:b w:val="0"/>
          <w:color w:val="1B2433"/>
          <w:sz w:val="20"/>
        </w:rPr>
        <w:t>3.1 Critères, poids et justification</w:t>
      </w:r>
      <w:r>
        <w:rPr>
          <w:rFonts w:ascii="Calibri" w:hAnsi="Calibri" w:eastAsia="Calibri"/>
          <w:color w:val="1B2433"/>
          <w:sz w:val="19"/>
        </w:rPr>
        <w:tab/>
        <w:t>14</w:t>
      </w:r>
    </w:p>
    <w:p>
      <w:pPr>
        <w:pStyle w:val="TOC2"/>
        <w:tabs>
          <w:tab w:pos="9298" w:val="right" w:leader="dot"/>
        </w:tabs>
        <w:ind w:left="312"/>
      </w:pPr>
      <w:r>
        <w:rPr>
          <w:rFonts w:ascii="Calibri" w:hAnsi="Calibri" w:eastAsia="Calibri"/>
          <w:b w:val="0"/>
          <w:color w:val="1B2433"/>
          <w:sz w:val="20"/>
        </w:rPr>
        <w:t>3.2 Quatre candidats</w:t>
      </w:r>
      <w:r>
        <w:rPr>
          <w:rFonts w:ascii="Calibri" w:hAnsi="Calibri" w:eastAsia="Calibri"/>
          <w:color w:val="1B2433"/>
          <w:sz w:val="19"/>
        </w:rPr>
        <w:tab/>
        <w:t>14</w:t>
      </w:r>
    </w:p>
    <w:p>
      <w:pPr>
        <w:pStyle w:val="TOC2"/>
        <w:tabs>
          <w:tab w:pos="9298" w:val="right" w:leader="dot"/>
        </w:tabs>
        <w:ind w:left="312"/>
      </w:pPr>
      <w:r>
        <w:rPr>
          <w:rFonts w:ascii="Calibri" w:hAnsi="Calibri" w:eastAsia="Calibri"/>
          <w:b w:val="0"/>
          <w:color w:val="1B2433"/>
          <w:sz w:val="20"/>
        </w:rPr>
        <w:t>3.3 Notation pondérée et résultats</w:t>
      </w:r>
      <w:r>
        <w:rPr>
          <w:rFonts w:ascii="Calibri" w:hAnsi="Calibri" w:eastAsia="Calibri"/>
          <w:color w:val="1B2433"/>
          <w:sz w:val="19"/>
        </w:rPr>
        <w:tab/>
        <w:t>14</w:t>
      </w:r>
    </w:p>
    <w:p>
      <w:pPr>
        <w:pStyle w:val="TOC2"/>
        <w:tabs>
          <w:tab w:pos="9298" w:val="right" w:leader="dot"/>
        </w:tabs>
        <w:ind w:left="312"/>
      </w:pPr>
      <w:r>
        <w:rPr>
          <w:rFonts w:ascii="Calibri" w:hAnsi="Calibri" w:eastAsia="Calibri"/>
          <w:b w:val="0"/>
          <w:color w:val="1B2433"/>
          <w:sz w:val="20"/>
        </w:rPr>
        <w:t>3.4 Décision, sensibilité et candidat le plus répandu</w:t>
      </w:r>
      <w:r>
        <w:rPr>
          <w:rFonts w:ascii="Calibri" w:hAnsi="Calibri" w:eastAsia="Calibri"/>
          <w:color w:val="1B2433"/>
          <w:sz w:val="19"/>
        </w:rPr>
        <w:tab/>
        <w:t>15</w:t>
      </w:r>
    </w:p>
    <w:p>
      <w:pPr>
        <w:pStyle w:val="TOC1"/>
        <w:tabs>
          <w:tab w:pos="9298" w:val="right" w:leader="dot"/>
        </w:tabs>
        <w:spacing w:before="100"/>
        <w:ind w:left="0"/>
      </w:pPr>
      <w:r>
        <w:rPr>
          <w:rFonts w:ascii="Calibri" w:hAnsi="Calibri" w:eastAsia="Calibri"/>
          <w:b/>
          <w:color w:val="1B2433"/>
          <w:sz w:val="21"/>
        </w:rPr>
        <w:t>4. P3 — Architecture et points de contrôle</w:t>
      </w:r>
      <w:r>
        <w:rPr>
          <w:rFonts w:ascii="Calibri" w:hAnsi="Calibri" w:eastAsia="Calibri"/>
          <w:color w:val="1B2433"/>
          <w:sz w:val="20"/>
        </w:rPr>
        <w:tab/>
        <w:t>16</w:t>
      </w:r>
    </w:p>
    <w:p>
      <w:pPr>
        <w:pStyle w:val="TOC2"/>
        <w:tabs>
          <w:tab w:pos="9298" w:val="right" w:leader="dot"/>
        </w:tabs>
        <w:ind w:left="312"/>
      </w:pPr>
      <w:r>
        <w:rPr>
          <w:rFonts w:ascii="Calibri" w:hAnsi="Calibri" w:eastAsia="Calibri"/>
          <w:b w:val="0"/>
          <w:color w:val="1B2433"/>
          <w:sz w:val="20"/>
        </w:rPr>
        <w:t>4.1 Trois zones de confiance et un flux non fiable</w:t>
      </w:r>
      <w:r>
        <w:rPr>
          <w:rFonts w:ascii="Calibri" w:hAnsi="Calibri" w:eastAsia="Calibri"/>
          <w:color w:val="1B2433"/>
          <w:sz w:val="19"/>
        </w:rPr>
        <w:tab/>
        <w:t>16</w:t>
      </w:r>
    </w:p>
    <w:p>
      <w:pPr>
        <w:pStyle w:val="TOC2"/>
        <w:tabs>
          <w:tab w:pos="9298" w:val="right" w:leader="dot"/>
        </w:tabs>
        <w:ind w:left="312"/>
      </w:pPr>
      <w:r>
        <w:rPr>
          <w:rFonts w:ascii="Calibri" w:hAnsi="Calibri" w:eastAsia="Calibri"/>
          <w:b w:val="0"/>
          <w:color w:val="1B2433"/>
          <w:sz w:val="20"/>
        </w:rPr>
        <w:t>4.2 Circulation des étiquettes</w:t>
      </w:r>
      <w:r>
        <w:rPr>
          <w:rFonts w:ascii="Calibri" w:hAnsi="Calibri" w:eastAsia="Calibri"/>
          <w:color w:val="1B2433"/>
          <w:sz w:val="19"/>
        </w:rPr>
        <w:tab/>
        <w:t>16</w:t>
      </w:r>
    </w:p>
    <w:p>
      <w:pPr>
        <w:pStyle w:val="TOC2"/>
        <w:tabs>
          <w:tab w:pos="9298" w:val="right" w:leader="dot"/>
        </w:tabs>
        <w:ind w:left="312"/>
      </w:pPr>
      <w:r>
        <w:rPr>
          <w:rFonts w:ascii="Calibri" w:hAnsi="Calibri" w:eastAsia="Calibri"/>
          <w:b w:val="0"/>
          <w:color w:val="1B2433"/>
          <w:sz w:val="20"/>
        </w:rPr>
        <w:t>4.3 Parcours d'un document classifié</w:t>
      </w:r>
      <w:r>
        <w:rPr>
          <w:rFonts w:ascii="Calibri" w:hAnsi="Calibri" w:eastAsia="Calibri"/>
          <w:color w:val="1B2433"/>
          <w:sz w:val="19"/>
        </w:rPr>
        <w:tab/>
        <w:t>17</w:t>
      </w:r>
    </w:p>
    <w:p>
      <w:pPr>
        <w:pStyle w:val="TOC2"/>
        <w:tabs>
          <w:tab w:pos="9298" w:val="right" w:leader="dot"/>
        </w:tabs>
        <w:ind w:left="312"/>
      </w:pPr>
      <w:r>
        <w:rPr>
          <w:rFonts w:ascii="Calibri" w:hAnsi="Calibri" w:eastAsia="Calibri"/>
          <w:b w:val="0"/>
          <w:color w:val="1B2433"/>
          <w:sz w:val="20"/>
        </w:rPr>
        <w:t>4.4 Huit points de contrôle</w:t>
      </w:r>
      <w:r>
        <w:rPr>
          <w:rFonts w:ascii="Calibri" w:hAnsi="Calibri" w:eastAsia="Calibri"/>
          <w:color w:val="1B2433"/>
          <w:sz w:val="19"/>
        </w:rPr>
        <w:tab/>
        <w:t>18</w:t>
      </w:r>
    </w:p>
    <w:p>
      <w:pPr>
        <w:pStyle w:val="TOC2"/>
        <w:tabs>
          <w:tab w:pos="9298" w:val="right" w:leader="dot"/>
        </w:tabs>
        <w:ind w:left="312"/>
      </w:pPr>
      <w:r>
        <w:rPr>
          <w:rFonts w:ascii="Calibri" w:hAnsi="Calibri" w:eastAsia="Calibri"/>
          <w:b w:val="0"/>
          <w:color w:val="1B2433"/>
          <w:sz w:val="20"/>
        </w:rPr>
        <w:t>4.5 Un seul point de journalisation, en échec fermé</w:t>
      </w:r>
      <w:r>
        <w:rPr>
          <w:rFonts w:ascii="Calibri" w:hAnsi="Calibri" w:eastAsia="Calibri"/>
          <w:color w:val="1B2433"/>
          <w:sz w:val="19"/>
        </w:rPr>
        <w:tab/>
        <w:t>18</w:t>
      </w:r>
    </w:p>
    <w:p>
      <w:pPr>
        <w:pStyle w:val="TOC2"/>
        <w:tabs>
          <w:tab w:pos="9298" w:val="right" w:leader="dot"/>
        </w:tabs>
        <w:ind w:left="312"/>
      </w:pPr>
      <w:r>
        <w:rPr>
          <w:rFonts w:ascii="Calibri" w:hAnsi="Calibri" w:eastAsia="Calibri"/>
          <w:b w:val="0"/>
          <w:color w:val="1B2433"/>
          <w:sz w:val="20"/>
        </w:rPr>
        <w:t>4.6 Composants, rôles et exigences</w:t>
      </w:r>
      <w:r>
        <w:rPr>
          <w:rFonts w:ascii="Calibri" w:hAnsi="Calibri" w:eastAsia="Calibri"/>
          <w:color w:val="1B2433"/>
          <w:sz w:val="19"/>
        </w:rPr>
        <w:tab/>
        <w:t>18</w:t>
      </w:r>
    </w:p>
    <w:p>
      <w:pPr>
        <w:pStyle w:val="TOC2"/>
        <w:tabs>
          <w:tab w:pos="9298" w:val="right" w:leader="dot"/>
        </w:tabs>
        <w:ind w:left="312"/>
      </w:pPr>
      <w:r>
        <w:rPr>
          <w:rFonts w:ascii="Calibri" w:hAnsi="Calibri" w:eastAsia="Calibri"/>
          <w:b w:val="0"/>
          <w:color w:val="1B2433"/>
          <w:sz w:val="20"/>
        </w:rPr>
        <w:t>4.7 Environnement de travail vérifié</w:t>
      </w:r>
      <w:r>
        <w:rPr>
          <w:rFonts w:ascii="Calibri" w:hAnsi="Calibri" w:eastAsia="Calibri"/>
          <w:color w:val="1B2433"/>
          <w:sz w:val="19"/>
        </w:rPr>
        <w:tab/>
        <w:t>19</w:t>
      </w:r>
    </w:p>
    <w:p>
      <w:pPr>
        <w:pStyle w:val="TOC2"/>
        <w:tabs>
          <w:tab w:pos="9298" w:val="right" w:leader="dot"/>
        </w:tabs>
        <w:ind w:left="312"/>
      </w:pPr>
      <w:r>
        <w:rPr>
          <w:rFonts w:ascii="Calibri" w:hAnsi="Calibri" w:eastAsia="Calibri"/>
          <w:b w:val="0"/>
          <w:color w:val="1B2433"/>
          <w:sz w:val="20"/>
        </w:rPr>
        <w:t>4.8 Méthodologie par jalons et validations</w:t>
      </w:r>
      <w:r>
        <w:rPr>
          <w:rFonts w:ascii="Calibri" w:hAnsi="Calibri" w:eastAsia="Calibri"/>
          <w:color w:val="1B2433"/>
          <w:sz w:val="19"/>
        </w:rPr>
        <w:tab/>
        <w:t>19</w:t>
      </w:r>
    </w:p>
    <w:p>
      <w:pPr>
        <w:pStyle w:val="TOC2"/>
        <w:tabs>
          <w:tab w:pos="9298" w:val="right" w:leader="dot"/>
        </w:tabs>
        <w:ind w:left="312"/>
      </w:pPr>
      <w:r>
        <w:rPr>
          <w:rFonts w:ascii="Calibri" w:hAnsi="Calibri" w:eastAsia="Calibri"/>
          <w:b w:val="0"/>
          <w:color w:val="1B2433"/>
          <w:sz w:val="20"/>
        </w:rPr>
        <w:t>4.9 Checklist de validation 1</w:t>
      </w:r>
      <w:r>
        <w:rPr>
          <w:rFonts w:ascii="Calibri" w:hAnsi="Calibri" w:eastAsia="Calibri"/>
          <w:color w:val="1B2433"/>
          <w:sz w:val="19"/>
        </w:rPr>
        <w:tab/>
        <w:t>19</w:t>
      </w:r>
    </w:p>
    <w:p>
      <w:pPr>
        <w:pStyle w:val="TOC1"/>
        <w:tabs>
          <w:tab w:pos="9298" w:val="right" w:leader="dot"/>
        </w:tabs>
        <w:spacing w:before="100"/>
        <w:ind w:left="0"/>
      </w:pPr>
      <w:r>
        <w:rPr>
          <w:rFonts w:ascii="Calibri" w:hAnsi="Calibri" w:eastAsia="Calibri"/>
          <w:b/>
          <w:color w:val="1B2433"/>
          <w:sz w:val="21"/>
        </w:rPr>
        <w:t>Partie II — Cyber OPS</w:t>
      </w:r>
      <w:r>
        <w:rPr>
          <w:rFonts w:ascii="Calibri" w:hAnsi="Calibri" w:eastAsia="Calibri"/>
          <w:color w:val="1B2433"/>
          <w:sz w:val="20"/>
        </w:rPr>
        <w:tab/>
        <w:t>20</w:t>
      </w:r>
    </w:p>
    <w:p>
      <w:pPr>
        <w:pStyle w:val="TOC1"/>
        <w:tabs>
          <w:tab w:pos="9298" w:val="right" w:leader="dot"/>
        </w:tabs>
        <w:spacing w:before="100"/>
        <w:ind w:left="0"/>
      </w:pPr>
      <w:r>
        <w:rPr>
          <w:rFonts w:ascii="Calibri" w:hAnsi="Calibri" w:eastAsia="Calibri"/>
          <w:b/>
          <w:color w:val="1B2433"/>
          <w:sz w:val="21"/>
        </w:rPr>
        <w:t>5. P4 — Réalisation, configuration et durcissement</w:t>
      </w:r>
      <w:r>
        <w:rPr>
          <w:rFonts w:ascii="Calibri" w:hAnsi="Calibri" w:eastAsia="Calibri"/>
          <w:color w:val="1B2433"/>
          <w:sz w:val="20"/>
        </w:rPr>
        <w:tab/>
        <w:t>20</w:t>
      </w:r>
    </w:p>
    <w:p>
      <w:pPr>
        <w:pStyle w:val="TOC2"/>
        <w:tabs>
          <w:tab w:pos="9298" w:val="right" w:leader="dot"/>
        </w:tabs>
        <w:ind w:left="312"/>
      </w:pPr>
      <w:r>
        <w:rPr>
          <w:rFonts w:ascii="Calibri" w:hAnsi="Calibri" w:eastAsia="Calibri"/>
          <w:b w:val="0"/>
          <w:color w:val="1B2433"/>
          <w:sz w:val="20"/>
        </w:rPr>
        <w:t>5.1 Journal horodaté de la réalisation</w:t>
      </w:r>
      <w:r>
        <w:rPr>
          <w:rFonts w:ascii="Calibri" w:hAnsi="Calibri" w:eastAsia="Calibri"/>
          <w:color w:val="1B2433"/>
          <w:sz w:val="19"/>
        </w:rPr>
        <w:tab/>
        <w:t>20</w:t>
      </w:r>
    </w:p>
    <w:p>
      <w:pPr>
        <w:pStyle w:val="TOC2"/>
        <w:tabs>
          <w:tab w:pos="9298" w:val="right" w:leader="dot"/>
        </w:tabs>
        <w:ind w:left="312"/>
      </w:pPr>
      <w:r>
        <w:rPr>
          <w:rFonts w:ascii="Calibri" w:hAnsi="Calibri" w:eastAsia="Calibri"/>
          <w:b w:val="0"/>
          <w:color w:val="1B2433"/>
          <w:sz w:val="20"/>
        </w:rPr>
        <w:t>5.2 Installation et configuration</w:t>
      </w:r>
      <w:r>
        <w:rPr>
          <w:rFonts w:ascii="Calibri" w:hAnsi="Calibri" w:eastAsia="Calibri"/>
          <w:color w:val="1B2433"/>
          <w:sz w:val="19"/>
        </w:rPr>
        <w:tab/>
        <w:t>20</w:t>
      </w:r>
    </w:p>
    <w:p>
      <w:pPr>
        <w:pStyle w:val="TOC2"/>
        <w:tabs>
          <w:tab w:pos="9298" w:val="right" w:leader="dot"/>
        </w:tabs>
        <w:ind w:left="312"/>
      </w:pPr>
      <w:r>
        <w:rPr>
          <w:rFonts w:ascii="Calibri" w:hAnsi="Calibri" w:eastAsia="Calibri"/>
          <w:b w:val="0"/>
          <w:color w:val="1B2433"/>
          <w:sz w:val="20"/>
        </w:rPr>
        <w:t>5.3 Implémentation des contrôles</w:t>
      </w:r>
      <w:r>
        <w:rPr>
          <w:rFonts w:ascii="Calibri" w:hAnsi="Calibri" w:eastAsia="Calibri"/>
          <w:color w:val="1B2433"/>
          <w:sz w:val="19"/>
        </w:rPr>
        <w:tab/>
        <w:t>21</w:t>
      </w:r>
    </w:p>
    <w:p>
      <w:pPr>
        <w:pStyle w:val="TOC2"/>
        <w:tabs>
          <w:tab w:pos="9298" w:val="right" w:leader="dot"/>
        </w:tabs>
        <w:ind w:left="312"/>
      </w:pPr>
      <w:r>
        <w:rPr>
          <w:rFonts w:ascii="Calibri" w:hAnsi="Calibri" w:eastAsia="Calibri"/>
          <w:b w:val="0"/>
          <w:color w:val="1B2433"/>
          <w:sz w:val="20"/>
        </w:rPr>
        <w:t>5.4 Durcissement du poste et du service</w:t>
      </w:r>
      <w:r>
        <w:rPr>
          <w:rFonts w:ascii="Calibri" w:hAnsi="Calibri" w:eastAsia="Calibri"/>
          <w:color w:val="1B2433"/>
          <w:sz w:val="19"/>
        </w:rPr>
        <w:tab/>
        <w:t>22</w:t>
      </w:r>
    </w:p>
    <w:p>
      <w:pPr>
        <w:pStyle w:val="TOC2"/>
        <w:tabs>
          <w:tab w:pos="9298" w:val="right" w:leader="dot"/>
        </w:tabs>
        <w:ind w:left="312"/>
      </w:pPr>
      <w:r>
        <w:rPr>
          <w:rFonts w:ascii="Calibri" w:hAnsi="Calibri" w:eastAsia="Calibri"/>
          <w:b w:val="0"/>
          <w:color w:val="1B2433"/>
          <w:sz w:val="20"/>
        </w:rPr>
        <w:t>5.5 Données synthétiques et scénarios</w:t>
      </w:r>
      <w:r>
        <w:rPr>
          <w:rFonts w:ascii="Calibri" w:hAnsi="Calibri" w:eastAsia="Calibri"/>
          <w:color w:val="1B2433"/>
          <w:sz w:val="19"/>
        </w:rPr>
        <w:tab/>
        <w:t>22</w:t>
      </w:r>
    </w:p>
    <w:p>
      <w:pPr>
        <w:pStyle w:val="TOC2"/>
        <w:tabs>
          <w:tab w:pos="9298" w:val="right" w:leader="dot"/>
        </w:tabs>
        <w:ind w:left="312"/>
      </w:pPr>
      <w:r>
        <w:rPr>
          <w:rFonts w:ascii="Calibri" w:hAnsi="Calibri" w:eastAsia="Calibri"/>
          <w:b w:val="0"/>
          <w:color w:val="1B2433"/>
          <w:sz w:val="20"/>
        </w:rPr>
        <w:t>5.6 État honnête de la réalisation</w:t>
      </w:r>
      <w:r>
        <w:rPr>
          <w:rFonts w:ascii="Calibri" w:hAnsi="Calibri" w:eastAsia="Calibri"/>
          <w:color w:val="1B2433"/>
          <w:sz w:val="19"/>
        </w:rPr>
        <w:tab/>
        <w:t>22</w:t>
      </w:r>
    </w:p>
    <w:p>
      <w:pPr>
        <w:pStyle w:val="TOC1"/>
        <w:tabs>
          <w:tab w:pos="9298" w:val="right" w:leader="dot"/>
        </w:tabs>
        <w:spacing w:before="100"/>
        <w:ind w:left="0"/>
      </w:pPr>
      <w:r>
        <w:rPr>
          <w:rFonts w:ascii="Calibri" w:hAnsi="Calibri" w:eastAsia="Calibri"/>
          <w:b/>
          <w:color w:val="1B2433"/>
          <w:sz w:val="21"/>
        </w:rPr>
        <w:t>6. P5 — Tests de bout en bout et métriques</w:t>
      </w:r>
      <w:r>
        <w:rPr>
          <w:rFonts w:ascii="Calibri" w:hAnsi="Calibri" w:eastAsia="Calibri"/>
          <w:color w:val="1B2433"/>
          <w:sz w:val="20"/>
        </w:rPr>
        <w:tab/>
        <w:t>23</w:t>
      </w:r>
    </w:p>
    <w:p>
      <w:pPr>
        <w:pStyle w:val="TOC2"/>
        <w:tabs>
          <w:tab w:pos="9298" w:val="right" w:leader="dot"/>
        </w:tabs>
        <w:ind w:left="312"/>
      </w:pPr>
      <w:r>
        <w:rPr>
          <w:rFonts w:ascii="Calibri" w:hAnsi="Calibri" w:eastAsia="Calibri"/>
          <w:b w:val="0"/>
          <w:color w:val="1B2433"/>
          <w:sz w:val="20"/>
        </w:rPr>
        <w:t>6.1 Protocole de test</w:t>
      </w:r>
      <w:r>
        <w:rPr>
          <w:rFonts w:ascii="Calibri" w:hAnsi="Calibri" w:eastAsia="Calibri"/>
          <w:color w:val="1B2433"/>
          <w:sz w:val="19"/>
        </w:rPr>
        <w:tab/>
        <w:t>23</w:t>
      </w:r>
    </w:p>
    <w:p>
      <w:pPr>
        <w:pStyle w:val="TOC2"/>
        <w:tabs>
          <w:tab w:pos="9298" w:val="right" w:leader="dot"/>
        </w:tabs>
        <w:ind w:left="312"/>
      </w:pPr>
      <w:r>
        <w:rPr>
          <w:rFonts w:ascii="Calibri" w:hAnsi="Calibri" w:eastAsia="Calibri"/>
          <w:b w:val="0"/>
          <w:color w:val="1B2433"/>
          <w:sz w:val="20"/>
        </w:rPr>
        <w:t>6.2 Tests nominaux et de durcissement</w:t>
      </w:r>
      <w:r>
        <w:rPr>
          <w:rFonts w:ascii="Calibri" w:hAnsi="Calibri" w:eastAsia="Calibri"/>
          <w:color w:val="1B2433"/>
          <w:sz w:val="19"/>
        </w:rPr>
        <w:tab/>
        <w:t>23</w:t>
      </w:r>
    </w:p>
    <w:p>
      <w:pPr>
        <w:pStyle w:val="TOC2"/>
        <w:tabs>
          <w:tab w:pos="9298" w:val="right" w:leader="dot"/>
        </w:tabs>
        <w:ind w:left="312"/>
      </w:pPr>
      <w:r>
        <w:rPr>
          <w:rFonts w:ascii="Calibri" w:hAnsi="Calibri" w:eastAsia="Calibri"/>
          <w:b w:val="0"/>
          <w:color w:val="1B2433"/>
          <w:sz w:val="20"/>
        </w:rPr>
        <w:t>6.3 Tests d'abus</w:t>
      </w:r>
      <w:r>
        <w:rPr>
          <w:rFonts w:ascii="Calibri" w:hAnsi="Calibri" w:eastAsia="Calibri"/>
          <w:color w:val="1B2433"/>
          <w:sz w:val="19"/>
        </w:rPr>
        <w:tab/>
        <w:t>24</w:t>
      </w:r>
    </w:p>
    <w:p>
      <w:pPr>
        <w:pStyle w:val="TOC2"/>
        <w:tabs>
          <w:tab w:pos="9298" w:val="right" w:leader="dot"/>
        </w:tabs>
        <w:ind w:left="312"/>
      </w:pPr>
      <w:r>
        <w:rPr>
          <w:rFonts w:ascii="Calibri" w:hAnsi="Calibri" w:eastAsia="Calibri"/>
          <w:b w:val="0"/>
          <w:color w:val="1B2433"/>
          <w:sz w:val="20"/>
        </w:rPr>
        <w:t>6.4 Captures d'écran réelles du projet</w:t>
      </w:r>
      <w:r>
        <w:rPr>
          <w:rFonts w:ascii="Calibri" w:hAnsi="Calibri" w:eastAsia="Calibri"/>
          <w:color w:val="1B2433"/>
          <w:sz w:val="19"/>
        </w:rPr>
        <w:tab/>
        <w:t>24</w:t>
      </w:r>
    </w:p>
    <w:p>
      <w:pPr>
        <w:pStyle w:val="TOC2"/>
        <w:tabs>
          <w:tab w:pos="9298" w:val="right" w:leader="dot"/>
        </w:tabs>
        <w:ind w:left="312"/>
      </w:pPr>
      <w:r>
        <w:rPr>
          <w:rFonts w:ascii="Calibri" w:hAnsi="Calibri" w:eastAsia="Calibri"/>
          <w:b w:val="0"/>
          <w:color w:val="1B2433"/>
          <w:sz w:val="20"/>
        </w:rPr>
        <w:t>6.5 Lecture des captures</w:t>
      </w:r>
      <w:r>
        <w:rPr>
          <w:rFonts w:ascii="Calibri" w:hAnsi="Calibri" w:eastAsia="Calibri"/>
          <w:color w:val="1B2433"/>
          <w:sz w:val="19"/>
        </w:rPr>
        <w:tab/>
        <w:t>27</w:t>
      </w:r>
    </w:p>
    <w:p>
      <w:pPr>
        <w:pStyle w:val="TOC2"/>
        <w:tabs>
          <w:tab w:pos="9298" w:val="right" w:leader="dot"/>
        </w:tabs>
        <w:ind w:left="312"/>
      </w:pPr>
      <w:r>
        <w:rPr>
          <w:rFonts w:ascii="Calibri" w:hAnsi="Calibri" w:eastAsia="Calibri"/>
          <w:b w:val="0"/>
          <w:color w:val="1B2433"/>
          <w:sz w:val="20"/>
        </w:rPr>
        <w:t>6.6 Métriques et avant / après</w:t>
      </w:r>
      <w:r>
        <w:rPr>
          <w:rFonts w:ascii="Calibri" w:hAnsi="Calibri" w:eastAsia="Calibri"/>
          <w:color w:val="1B2433"/>
          <w:sz w:val="19"/>
        </w:rPr>
        <w:tab/>
        <w:t>28</w:t>
      </w:r>
    </w:p>
    <w:p>
      <w:pPr>
        <w:pStyle w:val="TOC2"/>
        <w:tabs>
          <w:tab w:pos="9298" w:val="right" w:leader="dot"/>
        </w:tabs>
        <w:ind w:left="312"/>
      </w:pPr>
      <w:r>
        <w:rPr>
          <w:rFonts w:ascii="Calibri" w:hAnsi="Calibri" w:eastAsia="Calibri"/>
          <w:b w:val="0"/>
          <w:color w:val="1B2433"/>
          <w:sz w:val="20"/>
        </w:rPr>
        <w:t>6.7 Un échec réel, documenté et corrigé</w:t>
      </w:r>
      <w:r>
        <w:rPr>
          <w:rFonts w:ascii="Calibri" w:hAnsi="Calibri" w:eastAsia="Calibri"/>
          <w:color w:val="1B2433"/>
          <w:sz w:val="19"/>
        </w:rPr>
        <w:tab/>
        <w:t>28</w:t>
      </w:r>
    </w:p>
    <w:p>
      <w:pPr>
        <w:pStyle w:val="TOC2"/>
        <w:tabs>
          <w:tab w:pos="9298" w:val="right" w:leader="dot"/>
        </w:tabs>
        <w:ind w:left="312"/>
      </w:pPr>
      <w:r>
        <w:rPr>
          <w:rFonts w:ascii="Calibri" w:hAnsi="Calibri" w:eastAsia="Calibri"/>
          <w:b w:val="0"/>
          <w:color w:val="1B2433"/>
          <w:sz w:val="20"/>
        </w:rPr>
        <w:t>6.8 Limites connues</w:t>
      </w:r>
      <w:r>
        <w:rPr>
          <w:rFonts w:ascii="Calibri" w:hAnsi="Calibri" w:eastAsia="Calibri"/>
          <w:color w:val="1B2433"/>
          <w:sz w:val="19"/>
        </w:rPr>
        <w:tab/>
        <w:t>29</w:t>
      </w:r>
    </w:p>
    <w:p>
      <w:pPr>
        <w:pStyle w:val="TOC1"/>
        <w:tabs>
          <w:tab w:pos="9298" w:val="right" w:leader="dot"/>
        </w:tabs>
        <w:spacing w:before="100"/>
        <w:ind w:left="0"/>
      </w:pPr>
      <w:r>
        <w:rPr>
          <w:rFonts w:ascii="Calibri" w:hAnsi="Calibri" w:eastAsia="Calibri"/>
          <w:b/>
          <w:color w:val="1B2433"/>
          <w:sz w:val="21"/>
        </w:rPr>
        <w:t>7. Note de synthèse</w:t>
      </w:r>
      <w:r>
        <w:rPr>
          <w:rFonts w:ascii="Calibri" w:hAnsi="Calibri" w:eastAsia="Calibri"/>
          <w:color w:val="1B2433"/>
          <w:sz w:val="20"/>
        </w:rPr>
        <w:tab/>
        <w:t>29</w:t>
      </w:r>
    </w:p>
    <w:p>
      <w:pPr>
        <w:pStyle w:val="TOC2"/>
        <w:tabs>
          <w:tab w:pos="9298" w:val="right" w:leader="dot"/>
        </w:tabs>
        <w:ind w:left="312"/>
      </w:pPr>
      <w:r>
        <w:rPr>
          <w:rFonts w:ascii="Calibri" w:hAnsi="Calibri" w:eastAsia="Calibri"/>
          <w:b w:val="0"/>
          <w:color w:val="1B2433"/>
          <w:sz w:val="20"/>
        </w:rPr>
        <w:t>7.1 Ce qui est testé</w:t>
      </w:r>
      <w:r>
        <w:rPr>
          <w:rFonts w:ascii="Calibri" w:hAnsi="Calibri" w:eastAsia="Calibri"/>
          <w:color w:val="1B2433"/>
          <w:sz w:val="19"/>
        </w:rPr>
        <w:tab/>
        <w:t>29</w:t>
      </w:r>
    </w:p>
    <w:p>
      <w:pPr>
        <w:pStyle w:val="TOC2"/>
        <w:tabs>
          <w:tab w:pos="9298" w:val="right" w:leader="dot"/>
        </w:tabs>
        <w:ind w:left="312"/>
      </w:pPr>
      <w:r>
        <w:rPr>
          <w:rFonts w:ascii="Calibri" w:hAnsi="Calibri" w:eastAsia="Calibri"/>
          <w:b w:val="0"/>
          <w:color w:val="1B2433"/>
          <w:sz w:val="20"/>
        </w:rPr>
        <w:t>7.2 Ce qui n'est pas testé</w:t>
      </w:r>
      <w:r>
        <w:rPr>
          <w:rFonts w:ascii="Calibri" w:hAnsi="Calibri" w:eastAsia="Calibri"/>
          <w:color w:val="1B2433"/>
          <w:sz w:val="19"/>
        </w:rPr>
        <w:tab/>
        <w:t>29</w:t>
      </w:r>
    </w:p>
    <w:p>
      <w:pPr>
        <w:pStyle w:val="TOC2"/>
        <w:tabs>
          <w:tab w:pos="9298" w:val="right" w:leader="dot"/>
        </w:tabs>
        <w:ind w:left="312"/>
      </w:pPr>
      <w:r>
        <w:rPr>
          <w:rFonts w:ascii="Calibri" w:hAnsi="Calibri" w:eastAsia="Calibri"/>
          <w:b w:val="0"/>
          <w:color w:val="1B2433"/>
          <w:sz w:val="20"/>
        </w:rPr>
        <w:t>7.3 Limites et travaux futurs</w:t>
      </w:r>
      <w:r>
        <w:rPr>
          <w:rFonts w:ascii="Calibri" w:hAnsi="Calibri" w:eastAsia="Calibri"/>
          <w:color w:val="1B2433"/>
          <w:sz w:val="19"/>
        </w:rPr>
        <w:tab/>
        <w:t>30</w:t>
      </w:r>
    </w:p>
    <w:p>
      <w:pPr>
        <w:pStyle w:val="TOC1"/>
        <w:tabs>
          <w:tab w:pos="9298" w:val="right" w:leader="dot"/>
        </w:tabs>
        <w:spacing w:before="100"/>
        <w:ind w:left="0"/>
      </w:pPr>
      <w:r>
        <w:rPr>
          <w:rFonts w:ascii="Calibri" w:hAnsi="Calibri" w:eastAsia="Calibri"/>
          <w:b/>
          <w:color w:val="1B2433"/>
          <w:sz w:val="21"/>
        </w:rPr>
        <w:t>Conclusion générale</w:t>
      </w:r>
      <w:r>
        <w:rPr>
          <w:rFonts w:ascii="Calibri" w:hAnsi="Calibri" w:eastAsia="Calibri"/>
          <w:color w:val="1B2433"/>
          <w:sz w:val="20"/>
        </w:rPr>
        <w:tab/>
        <w:t>31</w:t>
      </w:r>
    </w:p>
    <w:p>
      <w:pPr>
        <w:pStyle w:val="TOC1"/>
        <w:tabs>
          <w:tab w:pos="9298" w:val="right" w:leader="dot"/>
        </w:tabs>
        <w:spacing w:before="100"/>
        <w:ind w:left="0"/>
      </w:pPr>
      <w:r>
        <w:rPr>
          <w:rFonts w:ascii="Calibri" w:hAnsi="Calibri" w:eastAsia="Calibri"/>
          <w:b/>
          <w:color w:val="1B2433"/>
          <w:sz w:val="21"/>
        </w:rPr>
        <w:t>Bibliographie et références</w:t>
      </w:r>
      <w:r>
        <w:rPr>
          <w:rFonts w:ascii="Calibri" w:hAnsi="Calibri" w:eastAsia="Calibri"/>
          <w:color w:val="1B2433"/>
          <w:sz w:val="20"/>
        </w:rPr>
        <w:tab/>
        <w:t>32</w:t>
      </w:r>
    </w:p>
    <w:p>
      <w:pPr>
        <w:pStyle w:val="TOC1"/>
        <w:tabs>
          <w:tab w:pos="9298" w:val="right" w:leader="dot"/>
        </w:tabs>
        <w:spacing w:before="100"/>
        <w:ind w:left="0"/>
      </w:pPr>
      <w:r>
        <w:rPr>
          <w:rFonts w:ascii="Calibri" w:hAnsi="Calibri" w:eastAsia="Calibri"/>
          <w:b/>
          <w:color w:val="1B2433"/>
          <w:sz w:val="21"/>
        </w:rPr>
        <w:t>Annexes</w:t>
      </w:r>
      <w:r>
        <w:rPr>
          <w:rFonts w:ascii="Calibri" w:hAnsi="Calibri" w:eastAsia="Calibri"/>
          <w:color w:val="1B2433"/>
          <w:sz w:val="20"/>
        </w:rPr>
        <w:tab/>
        <w:t>33</w:t>
      </w:r>
    </w:p>
    <w:p>
      <w:pPr>
        <w:pStyle w:val="TOC1"/>
        <w:tabs>
          <w:tab w:pos="9298" w:val="right" w:leader="dot"/>
        </w:tabs>
        <w:spacing w:before="100"/>
        <w:ind w:left="0"/>
      </w:pPr>
      <w:r>
        <w:rPr>
          <w:rFonts w:ascii="Calibri" w:hAnsi="Calibri" w:eastAsia="Calibri"/>
          <w:b/>
          <w:color w:val="1B2433"/>
          <w:sz w:val="21"/>
        </w:rPr>
        <w:t>Annexe A — Catalogue des outils MCP</w:t>
      </w:r>
      <w:r>
        <w:rPr>
          <w:rFonts w:ascii="Calibri" w:hAnsi="Calibri" w:eastAsia="Calibri"/>
          <w:color w:val="1B2433"/>
          <w:sz w:val="20"/>
        </w:rPr>
        <w:tab/>
        <w:t>33</w:t>
      </w:r>
    </w:p>
    <w:p>
      <w:pPr>
        <w:pStyle w:val="TOC1"/>
        <w:tabs>
          <w:tab w:pos="9298" w:val="right" w:leader="dot"/>
        </w:tabs>
        <w:spacing w:before="100"/>
        <w:ind w:left="0"/>
      </w:pPr>
      <w:r>
        <w:rPr>
          <w:rFonts w:ascii="Calibri" w:hAnsi="Calibri" w:eastAsia="Calibri"/>
          <w:b/>
          <w:color w:val="1B2433"/>
          <w:sz w:val="21"/>
        </w:rPr>
        <w:t>Annexe B — Codes d'audit et motifs</w:t>
      </w:r>
      <w:r>
        <w:rPr>
          <w:rFonts w:ascii="Calibri" w:hAnsi="Calibri" w:eastAsia="Calibri"/>
          <w:color w:val="1B2433"/>
          <w:sz w:val="20"/>
        </w:rPr>
        <w:tab/>
        <w:t>33</w:t>
      </w:r>
    </w:p>
    <w:p>
      <w:pPr>
        <w:pStyle w:val="TOC1"/>
        <w:tabs>
          <w:tab w:pos="9298" w:val="right" w:leader="dot"/>
        </w:tabs>
        <w:spacing w:before="100"/>
        <w:ind w:left="0"/>
      </w:pPr>
      <w:r>
        <w:rPr>
          <w:rFonts w:ascii="Calibri" w:hAnsi="Calibri" w:eastAsia="Calibri"/>
          <w:b/>
          <w:color w:val="1B2433"/>
          <w:sz w:val="21"/>
        </w:rPr>
        <w:t>Annexe C — Procédure de reproduction</w:t>
      </w:r>
      <w:r>
        <w:rPr>
          <w:rFonts w:ascii="Calibri" w:hAnsi="Calibri" w:eastAsia="Calibri"/>
          <w:color w:val="1B2433"/>
          <w:sz w:val="20"/>
        </w:rPr>
        <w:tab/>
        <w:t>34</w:t>
      </w:r>
    </w:p>
    <w:p>
      <w:pPr>
        <w:pStyle w:val="TOC1"/>
        <w:tabs>
          <w:tab w:pos="9298" w:val="right" w:leader="dot"/>
        </w:tabs>
        <w:spacing w:before="100"/>
        <w:ind w:left="0"/>
      </w:pPr>
      <w:r>
        <w:rPr>
          <w:rFonts w:ascii="Calibri" w:hAnsi="Calibri" w:eastAsia="Calibri"/>
          <w:b/>
          <w:color w:val="1B2433"/>
          <w:sz w:val="21"/>
        </w:rPr>
        <w:t>Annexe D — Unité systemd proposée</w:t>
      </w:r>
      <w:r>
        <w:rPr>
          <w:rFonts w:ascii="Calibri" w:hAnsi="Calibri" w:eastAsia="Calibri"/>
          <w:color w:val="1B2433"/>
          <w:sz w:val="20"/>
        </w:rPr>
        <w:tab/>
        <w:t>34</w:t>
      </w:r>
    </w:p>
    <w:p>
      <w:pPr>
        <w:pStyle w:val="TOC1"/>
        <w:tabs>
          <w:tab w:pos="9298" w:val="right" w:leader="dot"/>
        </w:tabs>
        <w:spacing w:before="100"/>
        <w:ind w:left="0"/>
      </w:pPr>
      <w:r>
        <w:rPr>
          <w:rFonts w:ascii="Calibri" w:hAnsi="Calibri" w:eastAsia="Calibri"/>
          <w:b/>
          <w:color w:val="1B2433"/>
          <w:sz w:val="21"/>
        </w:rPr>
        <w:t>Annexe E — Glossaire</w:t>
      </w:r>
      <w:r>
        <w:rPr>
          <w:rFonts w:ascii="Calibri" w:hAnsi="Calibri" w:eastAsia="Calibri"/>
          <w:color w:val="1B2433"/>
          <w:sz w:val="20"/>
        </w:rPr>
        <w:tab/>
        <w:t>35</w:t>
      </w:r>
    </w:p>
    <w:p>
      <w:pPr>
        <w:spacing w:after="160"/>
      </w:pPr>
      <w:r>
        <w:fldChar w:fldCharType="end"/>
      </w:r>
    </w:p>
    <w:p>
      <w:r>
        <w:br w:type="page"/>
      </w:r>
    </w:p>
    <w:p>
      <w:pPr>
        <w:pStyle w:val="Titreliminaire"/>
        <w:pBdr>
          <w:bottom w:val="single" w:sz="8" w:space="4" w:color="B08A3E"/>
        </w:pBdr>
      </w:pPr>
      <w:r>
        <w:rPr>
          <w:rFonts w:ascii="Calibri" w:hAnsi="Calibri" w:eastAsia="Calibri"/>
          <w:b/>
          <w:color w:val="10243F"/>
          <w:sz w:val="40"/>
        </w:rPr>
        <w:t>Table des figures</w:t>
      </w:r>
    </w:p>
    <w:p>
      <w:pPr>
        <w:spacing w:after="0"/>
      </w:pPr>
      <w:r>
        <w:fldChar w:fldCharType="begin"/>
      </w:r>
      <w:r>
        <w:instrText xml:space="preserve"> TOC \c "Figure" \h \z \u </w:instrText>
      </w:r>
      <w:r>
        <w:fldChar w:fldCharType="separate"/>
      </w:r>
    </w:p>
    <w:p>
      <w:pPr>
        <w:pStyle w:val="TOC1"/>
        <w:tabs>
          <w:tab w:pos="9298" w:val="right" w:leader="dot"/>
        </w:tabs>
        <w:spacing w:before="0"/>
        <w:ind w:left="0"/>
      </w:pPr>
      <w:r>
        <w:rPr>
          <w:rFonts w:ascii="Calibri" w:hAnsi="Calibri" w:eastAsia="Calibri"/>
          <w:b w:val="0"/>
          <w:color w:val="1B2433"/>
          <w:sz w:val="21"/>
        </w:rPr>
        <w:t>Figure 1 — Comparatif pondéré : contribution de chaque critère au score total</w:t>
      </w:r>
      <w:r>
        <w:rPr>
          <w:rFonts w:ascii="Calibri" w:hAnsi="Calibri" w:eastAsia="Calibri"/>
          <w:color w:val="1B2433"/>
          <w:sz w:val="20"/>
        </w:rPr>
        <w:tab/>
        <w:t>15</w:t>
      </w:r>
    </w:p>
    <w:p>
      <w:pPr>
        <w:pStyle w:val="TOC1"/>
        <w:tabs>
          <w:tab w:pos="9298" w:val="right" w:leader="dot"/>
        </w:tabs>
        <w:spacing w:before="100"/>
        <w:ind w:left="0"/>
      </w:pPr>
      <w:r>
        <w:rPr>
          <w:rFonts w:ascii="Calibri" w:hAnsi="Calibri" w:eastAsia="Calibri"/>
          <w:b w:val="0"/>
          <w:color w:val="1B2433"/>
          <w:sz w:val="21"/>
        </w:rPr>
        <w:t>Figure 2 — Architecture en zones de confiance, circulation des requêtes et huit points de contrôle</w:t>
      </w:r>
      <w:r>
        <w:rPr>
          <w:rFonts w:ascii="Calibri" w:hAnsi="Calibri" w:eastAsia="Calibri"/>
          <w:color w:val="1B2433"/>
          <w:sz w:val="20"/>
        </w:rPr>
        <w:tab/>
        <w:t>16</w:t>
      </w:r>
    </w:p>
    <w:p>
      <w:pPr>
        <w:pStyle w:val="TOC1"/>
        <w:tabs>
          <w:tab w:pos="9298" w:val="right" w:leader="dot"/>
        </w:tabs>
        <w:spacing w:before="100"/>
        <w:ind w:left="0"/>
      </w:pPr>
      <w:r>
        <w:rPr>
          <w:rFonts w:ascii="Calibri" w:hAnsi="Calibri" w:eastAsia="Calibri"/>
          <w:b w:val="0"/>
          <w:color w:val="1B2433"/>
          <w:sz w:val="21"/>
        </w:rPr>
        <w:t>Figure 3 — Parcours d'un bulletin classifié, de l'ingestion à la réponse et au refus</w:t>
      </w:r>
      <w:r>
        <w:rPr>
          <w:rFonts w:ascii="Calibri" w:hAnsi="Calibri" w:eastAsia="Calibri"/>
          <w:color w:val="1B2433"/>
          <w:sz w:val="20"/>
        </w:rPr>
        <w:tab/>
        <w:t>17</w:t>
      </w:r>
    </w:p>
    <w:p>
      <w:pPr>
        <w:pStyle w:val="TOC1"/>
        <w:tabs>
          <w:tab w:pos="9298" w:val="right" w:leader="dot"/>
        </w:tabs>
        <w:spacing w:before="100"/>
        <w:ind w:left="0"/>
      </w:pPr>
      <w:r>
        <w:rPr>
          <w:rFonts w:ascii="Calibri" w:hAnsi="Calibri" w:eastAsia="Calibri"/>
          <w:b w:val="0"/>
          <w:color w:val="1B2433"/>
          <w:sz w:val="21"/>
        </w:rPr>
        <w:t>Figure 4 — Environnement réel : Python 3.14.4, SQLite 3.46.1 et base de 12 bulletins, 30 indicateurs et 6 actifs</w:t>
      </w:r>
      <w:r>
        <w:rPr>
          <w:rFonts w:ascii="Calibri" w:hAnsi="Calibri" w:eastAsia="Calibri"/>
          <w:color w:val="1B2433"/>
          <w:sz w:val="20"/>
        </w:rPr>
        <w:tab/>
        <w:t>25</w:t>
      </w:r>
    </w:p>
    <w:p>
      <w:pPr>
        <w:pStyle w:val="TOC1"/>
        <w:tabs>
          <w:tab w:pos="9298" w:val="right" w:leader="dot"/>
        </w:tabs>
        <w:spacing w:before="100"/>
        <w:ind w:left="0"/>
      </w:pPr>
      <w:r>
        <w:rPr>
          <w:rFonts w:ascii="Calibri" w:hAnsi="Calibri" w:eastAsia="Calibri"/>
          <w:b w:val="0"/>
          <w:color w:val="1B2433"/>
          <w:sz w:val="21"/>
        </w:rPr>
        <w:t>Figure 5 — Découverte réelle du serveur : protocole 2025-06-18, six outils en lecture seule, neuf bulletins visibles</w:t>
      </w:r>
      <w:r>
        <w:rPr>
          <w:rFonts w:ascii="Calibri" w:hAnsi="Calibri" w:eastAsia="Calibri"/>
          <w:color w:val="1B2433"/>
          <w:sz w:val="20"/>
        </w:rPr>
        <w:tab/>
        <w:t>26</w:t>
      </w:r>
    </w:p>
    <w:p>
      <w:pPr>
        <w:pStyle w:val="TOC1"/>
        <w:tabs>
          <w:tab w:pos="9298" w:val="right" w:leader="dot"/>
        </w:tabs>
        <w:spacing w:before="100"/>
        <w:ind w:left="0"/>
      </w:pPr>
      <w:r>
        <w:rPr>
          <w:rFonts w:ascii="Calibri" w:hAnsi="Calibri" w:eastAsia="Calibri"/>
          <w:b w:val="0"/>
          <w:color w:val="1B2433"/>
          <w:sz w:val="21"/>
        </w:rPr>
        <w:t>Figure 6 — Fuite refusée deux fois : canari absent, code générique et motif interne distinct dans le journal</w:t>
      </w:r>
      <w:r>
        <w:rPr>
          <w:rFonts w:ascii="Calibri" w:hAnsi="Calibri" w:eastAsia="Calibri"/>
          <w:color w:val="1B2433"/>
          <w:sz w:val="20"/>
        </w:rPr>
        <w:tab/>
        <w:t>26</w:t>
      </w:r>
    </w:p>
    <w:p>
      <w:pPr>
        <w:pStyle w:val="TOC1"/>
        <w:tabs>
          <w:tab w:pos="9298" w:val="right" w:leader="dot"/>
        </w:tabs>
        <w:spacing w:before="100"/>
        <w:ind w:left="0"/>
      </w:pPr>
      <w:r>
        <w:rPr>
          <w:rFonts w:ascii="Calibri" w:hAnsi="Calibri" w:eastAsia="Calibri"/>
          <w:b w:val="0"/>
          <w:color w:val="1B2433"/>
          <w:sz w:val="21"/>
        </w:rPr>
        <w:t>Figure 7 — Même bulletin autorisé avec l'habilitation et le compartiment requis, puis instruction hostile neutralisée</w:t>
      </w:r>
      <w:r>
        <w:rPr>
          <w:rFonts w:ascii="Calibri" w:hAnsi="Calibri" w:eastAsia="Calibri"/>
          <w:color w:val="1B2433"/>
          <w:sz w:val="20"/>
        </w:rPr>
        <w:tab/>
        <w:t>26</w:t>
      </w:r>
    </w:p>
    <w:p>
      <w:pPr>
        <w:pStyle w:val="TOC1"/>
        <w:tabs>
          <w:tab w:pos="9298" w:val="right" w:leader="dot"/>
        </w:tabs>
        <w:spacing w:before="100"/>
        <w:ind w:left="0"/>
      </w:pPr>
      <w:r>
        <w:rPr>
          <w:rFonts w:ascii="Calibri" w:hAnsi="Calibri" w:eastAsia="Calibri"/>
          <w:b w:val="0"/>
          <w:color w:val="1B2433"/>
          <w:sz w:val="21"/>
        </w:rPr>
        <w:t>Figure 8 — Chaîne valide sur 116 entrées, puis rupture détectée à la séquence 31 sur la copie falsifiée</w:t>
      </w:r>
      <w:r>
        <w:rPr>
          <w:rFonts w:ascii="Calibri" w:hAnsi="Calibri" w:eastAsia="Calibri"/>
          <w:color w:val="1B2433"/>
          <w:sz w:val="20"/>
        </w:rPr>
        <w:tab/>
        <w:t>27</w:t>
      </w:r>
    </w:p>
    <w:p>
      <w:pPr>
        <w:pStyle w:val="TOC1"/>
        <w:tabs>
          <w:tab w:pos="9298" w:val="right" w:leader="dot"/>
        </w:tabs>
        <w:spacing w:before="100"/>
        <w:ind w:left="0"/>
      </w:pPr>
      <w:r>
        <w:rPr>
          <w:rFonts w:ascii="Calibri" w:hAnsi="Calibri" w:eastAsia="Calibri"/>
          <w:b w:val="0"/>
          <w:color w:val="1B2433"/>
          <w:sz w:val="21"/>
        </w:rPr>
        <w:t>Figure 9 — Comparaison réelle : canari et source visibles sans contrôle, absents ou masqués avec le serveur durci</w:t>
      </w:r>
      <w:r>
        <w:rPr>
          <w:rFonts w:ascii="Calibri" w:hAnsi="Calibri" w:eastAsia="Calibri"/>
          <w:color w:val="1B2433"/>
          <w:sz w:val="20"/>
        </w:rPr>
        <w:tab/>
        <w:t>27</w:t>
      </w:r>
    </w:p>
    <w:p>
      <w:pPr>
        <w:pStyle w:val="TOC1"/>
        <w:tabs>
          <w:tab w:pos="9298" w:val="right" w:leader="dot"/>
        </w:tabs>
        <w:spacing w:before="100"/>
        <w:ind w:left="0"/>
      </w:pPr>
      <w:r>
        <w:rPr>
          <w:rFonts w:ascii="Calibri" w:hAnsi="Calibri" w:eastAsia="Calibri"/>
          <w:b w:val="0"/>
          <w:color w:val="1B2433"/>
          <w:sz w:val="21"/>
        </w:rPr>
        <w:t>Figure 10 — Moindre privilège réel : uid 65534, base en 0440, clé en 0400 et écriture de la base refusée</w:t>
      </w:r>
      <w:r>
        <w:rPr>
          <w:rFonts w:ascii="Calibri" w:hAnsi="Calibri" w:eastAsia="Calibri"/>
          <w:color w:val="1B2433"/>
          <w:sz w:val="20"/>
        </w:rPr>
        <w:tab/>
        <w:t>27</w:t>
      </w:r>
    </w:p>
    <w:p>
      <w:pPr>
        <w:pStyle w:val="TOC1"/>
        <w:tabs>
          <w:tab w:pos="9298" w:val="right" w:leader="dot"/>
        </w:tabs>
        <w:spacing w:before="100"/>
        <w:ind w:left="0"/>
      </w:pPr>
      <w:r>
        <w:rPr>
          <w:rFonts w:ascii="Calibri" w:hAnsi="Calibri" w:eastAsia="Calibri"/>
          <w:b w:val="0"/>
          <w:color w:val="1B2433"/>
          <w:sz w:val="21"/>
        </w:rPr>
        <w:t>Figure 11 — Tableau de bord des métriques de la campagne</w:t>
      </w:r>
      <w:r>
        <w:rPr>
          <w:rFonts w:ascii="Calibri" w:hAnsi="Calibri" w:eastAsia="Calibri"/>
          <w:color w:val="1B2433"/>
          <w:sz w:val="20"/>
        </w:rPr>
        <w:tab/>
        <w:t>28</w:t>
      </w:r>
    </w:p>
    <w:p>
      <w:pPr>
        <w:spacing w:after="160"/>
      </w:pPr>
      <w:r>
        <w:fldChar w:fldCharType="end"/>
      </w:r>
    </w:p>
    <w:p>
      <w:r>
        <w:br w:type="page"/>
      </w:r>
    </w:p>
    <w:p>
      <w:pPr>
        <w:pStyle w:val="Titreliminaire"/>
        <w:pBdr>
          <w:bottom w:val="single" w:sz="8" w:space="4" w:color="B08A3E"/>
        </w:pBdr>
      </w:pPr>
      <w:r>
        <w:rPr>
          <w:rFonts w:ascii="Calibri" w:hAnsi="Calibri" w:eastAsia="Calibri"/>
          <w:b/>
          <w:color w:val="10243F"/>
          <w:sz w:val="40"/>
        </w:rPr>
        <w:t>Liste des tableaux</w:t>
      </w:r>
    </w:p>
    <w:p>
      <w:pPr>
        <w:spacing w:after="0"/>
      </w:pPr>
      <w:r>
        <w:fldChar w:fldCharType="begin"/>
      </w:r>
      <w:r>
        <w:instrText xml:space="preserve"> TOC \c "Tableau" \h \z \u </w:instrText>
      </w:r>
      <w:r>
        <w:fldChar w:fldCharType="separate"/>
      </w:r>
    </w:p>
    <w:p>
      <w:pPr>
        <w:pStyle w:val="TOC1"/>
        <w:tabs>
          <w:tab w:pos="9298" w:val="right" w:leader="dot"/>
        </w:tabs>
        <w:spacing w:before="0"/>
        <w:ind w:left="0"/>
      </w:pPr>
      <w:r>
        <w:rPr>
          <w:rFonts w:ascii="Calibri" w:hAnsi="Calibri" w:eastAsia="Calibri"/>
          <w:b w:val="0"/>
          <w:color w:val="1B2433"/>
          <w:sz w:val="21"/>
        </w:rPr>
        <w:t>Tableau 1 — Chiffres clés de la campagne de validation</w:t>
      </w:r>
      <w:r>
        <w:rPr>
          <w:rFonts w:ascii="Calibri" w:hAnsi="Calibri" w:eastAsia="Calibri"/>
          <w:color w:val="1B2433"/>
          <w:sz w:val="20"/>
        </w:rPr>
        <w:tab/>
        <w:t>7</w:t>
      </w:r>
    </w:p>
    <w:p>
      <w:pPr>
        <w:pStyle w:val="TOC1"/>
        <w:tabs>
          <w:tab w:pos="9298" w:val="right" w:leader="dot"/>
        </w:tabs>
        <w:spacing w:before="100"/>
        <w:ind w:left="0"/>
      </w:pPr>
      <w:r>
        <w:rPr>
          <w:rFonts w:ascii="Calibri" w:hAnsi="Calibri" w:eastAsia="Calibri"/>
          <w:b w:val="0"/>
          <w:color w:val="1B2433"/>
          <w:sz w:val="21"/>
        </w:rPr>
        <w:t>Tableau 2 — Apports propres et preuves associées</w:t>
      </w:r>
      <w:r>
        <w:rPr>
          <w:rFonts w:ascii="Calibri" w:hAnsi="Calibri" w:eastAsia="Calibri"/>
          <w:color w:val="1B2433"/>
          <w:sz w:val="20"/>
        </w:rPr>
        <w:tab/>
        <w:t>10</w:t>
      </w:r>
    </w:p>
    <w:p>
      <w:pPr>
        <w:pStyle w:val="TOC1"/>
        <w:tabs>
          <w:tab w:pos="9298" w:val="right" w:leader="dot"/>
        </w:tabs>
        <w:spacing w:before="100"/>
        <w:ind w:left="0"/>
      </w:pPr>
      <w:r>
        <w:rPr>
          <w:rFonts w:ascii="Calibri" w:hAnsi="Calibri" w:eastAsia="Calibri"/>
          <w:b w:val="0"/>
          <w:color w:val="1B2433"/>
          <w:sz w:val="21"/>
        </w:rPr>
        <w:t>Tableau 3 — Actifs, classification et localisation</w:t>
      </w:r>
      <w:r>
        <w:rPr>
          <w:rFonts w:ascii="Calibri" w:hAnsi="Calibri" w:eastAsia="Calibri"/>
          <w:color w:val="1B2433"/>
          <w:sz w:val="20"/>
        </w:rPr>
        <w:tab/>
        <w:t>11</w:t>
      </w:r>
    </w:p>
    <w:p>
      <w:pPr>
        <w:pStyle w:val="TOC1"/>
        <w:tabs>
          <w:tab w:pos="9298" w:val="right" w:leader="dot"/>
        </w:tabs>
        <w:spacing w:before="100"/>
        <w:ind w:left="0"/>
      </w:pPr>
      <w:r>
        <w:rPr>
          <w:rFonts w:ascii="Calibri" w:hAnsi="Calibri" w:eastAsia="Calibri"/>
          <w:b w:val="0"/>
          <w:color w:val="1B2433"/>
          <w:sz w:val="21"/>
        </w:rPr>
        <w:t>Tableau 4 — Risques, scores et contrôles principaux</w:t>
      </w:r>
      <w:r>
        <w:rPr>
          <w:rFonts w:ascii="Calibri" w:hAnsi="Calibri" w:eastAsia="Calibri"/>
          <w:color w:val="1B2433"/>
          <w:sz w:val="20"/>
        </w:rPr>
        <w:tab/>
        <w:t>12</w:t>
      </w:r>
    </w:p>
    <w:p>
      <w:pPr>
        <w:pStyle w:val="TOC1"/>
        <w:tabs>
          <w:tab w:pos="9298" w:val="right" w:leader="dot"/>
        </w:tabs>
        <w:spacing w:before="100"/>
        <w:ind w:left="0"/>
      </w:pPr>
      <w:r>
        <w:rPr>
          <w:rFonts w:ascii="Calibri" w:hAnsi="Calibri" w:eastAsia="Calibri"/>
          <w:b w:val="0"/>
          <w:color w:val="1B2433"/>
          <w:sz w:val="21"/>
        </w:rPr>
        <w:t>Tableau 5 — Scores pondérés des quatre candidats</w:t>
      </w:r>
      <w:r>
        <w:rPr>
          <w:rFonts w:ascii="Calibri" w:hAnsi="Calibri" w:eastAsia="Calibri"/>
          <w:color w:val="1B2433"/>
          <w:sz w:val="20"/>
        </w:rPr>
        <w:tab/>
        <w:t>14</w:t>
      </w:r>
    </w:p>
    <w:p>
      <w:pPr>
        <w:pStyle w:val="TOC1"/>
        <w:tabs>
          <w:tab w:pos="9298" w:val="right" w:leader="dot"/>
        </w:tabs>
        <w:spacing w:before="100"/>
        <w:ind w:left="0"/>
      </w:pPr>
      <w:r>
        <w:rPr>
          <w:rFonts w:ascii="Calibri" w:hAnsi="Calibri" w:eastAsia="Calibri"/>
          <w:b w:val="0"/>
          <w:color w:val="1B2433"/>
          <w:sz w:val="21"/>
        </w:rPr>
        <w:t>Tableau 6 — Niveaux, TLP et mentions de manipulation</w:t>
      </w:r>
      <w:r>
        <w:rPr>
          <w:rFonts w:ascii="Calibri" w:hAnsi="Calibri" w:eastAsia="Calibri"/>
          <w:color w:val="1B2433"/>
          <w:sz w:val="20"/>
        </w:rPr>
        <w:tab/>
        <w:t>17</w:t>
      </w:r>
    </w:p>
    <w:p>
      <w:pPr>
        <w:pStyle w:val="TOC1"/>
        <w:tabs>
          <w:tab w:pos="9298" w:val="right" w:leader="dot"/>
        </w:tabs>
        <w:spacing w:before="100"/>
        <w:ind w:left="0"/>
      </w:pPr>
      <w:r>
        <w:rPr>
          <w:rFonts w:ascii="Calibri" w:hAnsi="Calibri" w:eastAsia="Calibri"/>
          <w:b w:val="0"/>
          <w:color w:val="1B2433"/>
          <w:sz w:val="21"/>
        </w:rPr>
        <w:t>Tableau 7 — Points de contrôle et exigences</w:t>
      </w:r>
      <w:r>
        <w:rPr>
          <w:rFonts w:ascii="Calibri" w:hAnsi="Calibri" w:eastAsia="Calibri"/>
          <w:color w:val="1B2433"/>
          <w:sz w:val="20"/>
        </w:rPr>
        <w:tab/>
        <w:t>18</w:t>
      </w:r>
    </w:p>
    <w:p>
      <w:pPr>
        <w:pStyle w:val="TOC1"/>
        <w:tabs>
          <w:tab w:pos="9298" w:val="right" w:leader="dot"/>
        </w:tabs>
        <w:spacing w:before="100"/>
        <w:ind w:left="0"/>
      </w:pPr>
      <w:r>
        <w:rPr>
          <w:rFonts w:ascii="Calibri" w:hAnsi="Calibri" w:eastAsia="Calibri"/>
          <w:b w:val="0"/>
          <w:color w:val="1B2433"/>
          <w:sz w:val="21"/>
        </w:rPr>
        <w:t>Tableau 8 — Contrôles, implémentation et tests</w:t>
      </w:r>
      <w:r>
        <w:rPr>
          <w:rFonts w:ascii="Calibri" w:hAnsi="Calibri" w:eastAsia="Calibri"/>
          <w:color w:val="1B2433"/>
          <w:sz w:val="20"/>
        </w:rPr>
        <w:tab/>
        <w:t>21</w:t>
      </w:r>
    </w:p>
    <w:p>
      <w:pPr>
        <w:pStyle w:val="TOC1"/>
        <w:tabs>
          <w:tab w:pos="9298" w:val="right" w:leader="dot"/>
        </w:tabs>
        <w:spacing w:before="100"/>
        <w:ind w:left="0"/>
      </w:pPr>
      <w:r>
        <w:rPr>
          <w:rFonts w:ascii="Calibri" w:hAnsi="Calibri" w:eastAsia="Calibri"/>
          <w:b w:val="0"/>
          <w:color w:val="1B2433"/>
          <w:sz w:val="21"/>
        </w:rPr>
        <w:t>Tableau 9 — Scénarios d'abus et résultats</w:t>
      </w:r>
      <w:r>
        <w:rPr>
          <w:rFonts w:ascii="Calibri" w:hAnsi="Calibri" w:eastAsia="Calibri"/>
          <w:color w:val="1B2433"/>
          <w:sz w:val="20"/>
        </w:rPr>
        <w:tab/>
        <w:t>24</w:t>
      </w:r>
    </w:p>
    <w:p>
      <w:pPr>
        <w:pStyle w:val="TOC1"/>
        <w:tabs>
          <w:tab w:pos="9298" w:val="right" w:leader="dot"/>
        </w:tabs>
        <w:spacing w:before="100"/>
        <w:ind w:left="0"/>
      </w:pPr>
      <w:r>
        <w:rPr>
          <w:rFonts w:ascii="Calibri" w:hAnsi="Calibri" w:eastAsia="Calibri"/>
          <w:b w:val="0"/>
          <w:color w:val="1B2433"/>
          <w:sz w:val="21"/>
        </w:rPr>
        <w:t>Tableau 10 — Six outils MCP en lecture seule</w:t>
      </w:r>
      <w:r>
        <w:rPr>
          <w:rFonts w:ascii="Calibri" w:hAnsi="Calibri" w:eastAsia="Calibri"/>
          <w:color w:val="1B2433"/>
          <w:sz w:val="20"/>
        </w:rPr>
        <w:tab/>
        <w:t>33</w:t>
      </w:r>
    </w:p>
    <w:p>
      <w:pPr>
        <w:pStyle w:val="TOC1"/>
        <w:tabs>
          <w:tab w:pos="9298" w:val="right" w:leader="dot"/>
        </w:tabs>
        <w:spacing w:before="100"/>
        <w:ind w:left="0"/>
      </w:pPr>
      <w:r>
        <w:rPr>
          <w:rFonts w:ascii="Calibri" w:hAnsi="Calibri" w:eastAsia="Calibri"/>
          <w:b w:val="0"/>
          <w:color w:val="1B2433"/>
          <w:sz w:val="21"/>
        </w:rPr>
        <w:t>Tableau 11 — Codes d'audit et motifs de décision</w:t>
      </w:r>
      <w:r>
        <w:rPr>
          <w:rFonts w:ascii="Calibri" w:hAnsi="Calibri" w:eastAsia="Calibri"/>
          <w:color w:val="1B2433"/>
          <w:sz w:val="20"/>
        </w:rPr>
        <w:tab/>
        <w:t>33</w:t>
      </w:r>
    </w:p>
    <w:p>
      <w:pPr>
        <w:pStyle w:val="TOC1"/>
        <w:tabs>
          <w:tab w:pos="9298" w:val="right" w:leader="dot"/>
        </w:tabs>
        <w:spacing w:before="100"/>
        <w:ind w:left="0"/>
      </w:pPr>
      <w:r>
        <w:rPr>
          <w:rFonts w:ascii="Calibri" w:hAnsi="Calibri" w:eastAsia="Calibri"/>
          <w:b w:val="0"/>
          <w:color w:val="1B2433"/>
          <w:sz w:val="21"/>
        </w:rPr>
        <w:t>Tableau 12 — Glossaire des termes techniques</w:t>
      </w:r>
      <w:r>
        <w:rPr>
          <w:rFonts w:ascii="Calibri" w:hAnsi="Calibri" w:eastAsia="Calibri"/>
          <w:color w:val="1B2433"/>
          <w:sz w:val="20"/>
        </w:rPr>
        <w:tab/>
        <w:t>35</w:t>
      </w:r>
    </w:p>
    <w:p>
      <w:pPr>
        <w:spacing w:after="160"/>
      </w:pPr>
      <w:r>
        <w:fldChar w:fldCharType="end"/>
      </w:r>
    </w:p>
    <w:p>
      <w:pPr>
        <w:pStyle w:val="Heading1"/>
      </w:pPr>
      <w:r>
        <w:rPr>
          <w:rFonts w:ascii="Calibri" w:hAnsi="Calibri" w:eastAsia="Calibri"/>
          <w:b/>
          <w:color w:val="10243F"/>
          <w:sz w:val="34"/>
        </w:rPr>
        <w:t>Introduction générale</w:t>
      </w:r>
    </w:p>
    <w:p>
      <w:pPr>
        <w:keepNext w:val="0"/>
      </w:pPr>
      <w:r>
        <w:rPr>
          <w:b w:val="0"/>
          <w:i w:val="0"/>
          <w:sz w:val="24"/>
        </w:rPr>
        <w:t>Un analyste demande à un agent conversationnel : « résume le bulletin ADV-2026-004 ». L'agent appelle un outil MCP, reçoit un JSON, le place dans son contexte et rédige une synthèse. Si le serveur ne sait pas qui demande, pour quelle finalité et avec quelle habilitation, la réponse peut contenir un canari de détection et l'identité d'une source humaine. La fuite n'est pas une hypothèse : elle tient en un appel.</w:t>
      </w:r>
    </w:p>
    <w:p>
      <w:pPr>
        <w:keepNext w:val="0"/>
      </w:pPr>
      <w:r>
        <w:rPr>
          <w:b w:val="0"/>
          <w:i w:val="0"/>
        </w:rPr>
        <w:t>Ce rapport part de cette scène très concrète, et non d'une inquiétude générale sur la cybercriminalité. Le sujet est un serveur MCP (Model Context Protocol) de Threat Intelligence : un service qui expose des bulletins, des indicateurs de compromission et des scores de risque à des agents LLM. Le protocole MCP standardise le transport et la découverte d'outils ; il ne dit rien, par lui-même, de la confidentialité des données transportées. C'est précisément cet espace que le projet occupe : rendre la protection du secret démontrable à chaque appel, sans sortir du poste de travail.</w:t>
      </w:r>
    </w:p>
    <w:p>
      <w:pPr>
        <w:keepNext w:val="0"/>
      </w:pPr>
      <w:r>
        <w:rPr>
          <w:b w:val="0"/>
          <w:i w:val="0"/>
        </w:rPr>
        <w:t>Nous avons traité le sujet en deux temps liés par le même fil rouge. La première partie construit le cadrage, le modèle de menace, les exigences, le comparatif de solutions et l'architecture : c'est la matière de la validation 1. La seconde partie réalise le serveur dans un laboratoire WSL2, le durcit, puis exécute une campagne de 31 scénarios : c'est la matière de la validation 2. Les deux parties ne sont pas juxtaposées : chaque contrôle de la seconde répond à un risque nommé dans la première, et chaque test cite l'exigence qu'il valide.</w:t>
      </w:r>
    </w:p>
    <w:p>
      <w:pPr>
        <w:keepNext w:val="0"/>
      </w:pPr>
      <w:r>
        <w:rPr>
          <w:b w:val="0"/>
          <w:i w:val="0"/>
        </w:rPr>
        <w:t xml:space="preserve">La thèse que nous défendons tient en une phrase : </w:t>
      </w:r>
      <w:r>
        <w:rPr>
          <w:b/>
          <w:i w:val="0"/>
        </w:rPr>
        <w:t>un serveur MCP de Threat Intelligence peut rester simple, local et hors ligne tout en rendant la protection du secret démontrable, à condition de traiter l'étiquette, l'habilitation et la trace comme des données de première classe à chaque appel.</w:t>
      </w:r>
      <w:r>
        <w:rPr>
          <w:b w:val="0"/>
          <w:i w:val="0"/>
        </w:rPr>
        <w:t xml:space="preserve"> Cette phrase guide les choix techniques : pas de base exposée au client, pas de réponse sans enveloppe étiquetée, pas de décision sans trace, pas de contenu partenaire exécuté comme une instruction.</w:t>
      </w:r>
    </w:p>
    <w:p>
      <w:pPr>
        <w:pStyle w:val="Heading2"/>
      </w:pPr>
      <w:r>
        <w:rPr>
          <w:rFonts w:ascii="Calibri" w:hAnsi="Calibri" w:eastAsia="Calibri"/>
          <w:b/>
          <w:color w:val="2F6DB3"/>
          <w:sz w:val="28"/>
        </w:rPr>
        <w:t>Ce que le lecteur peut vérifier</w:t>
      </w:r>
    </w:p>
    <w:p>
      <w:pPr>
        <w:keepNext w:val="0"/>
      </w:pPr>
      <w:r>
        <w:rPr>
          <w:b w:val="0"/>
          <w:i w:val="0"/>
        </w:rPr>
        <w:t xml:space="preserve">Le rapport ne présente pas un prototype « prometteur » : il présente un artefact exécutable, ses preuves et ses limites. Toutes les valeurs chiffrées proviennent de la campagne du 27 octobre 2026, consignée dans </w:t>
      </w:r>
      <w:r>
        <w:rPr>
          <w:rFonts w:ascii="Consolas" w:hAnsi="Consolas" w:eastAsia="Consolas"/>
          <w:b w:val="0"/>
          <w:i w:val="0"/>
          <w:color w:val="1F2A3A"/>
        </w:rPr>
        <w:t>preuves/logs/tests_latest.json</w:t>
      </w:r>
      <w:r>
        <w:rPr>
          <w:b w:val="0"/>
          <w:i w:val="0"/>
        </w:rPr>
        <w:t xml:space="preserve"> et rejouable par </w:t>
      </w:r>
      <w:r>
        <w:rPr>
          <w:rFonts w:ascii="Consolas" w:hAnsi="Consolas" w:eastAsia="Consolas"/>
          <w:b w:val="0"/>
          <w:i w:val="0"/>
          <w:color w:val="1F2A3A"/>
        </w:rPr>
        <w:t>python3 tests/run_tests.py</w:t>
      </w:r>
      <w:r>
        <w:rPr>
          <w:b w:val="0"/>
          <w:i w:val="0"/>
        </w:rPr>
        <w:t xml:space="preserve">. Les captures d'écran sont générées à partir de sorties réelles, et non dessinées pour l'illustration. Les statuts sont employés au sens strict : </w:t>
      </w:r>
      <w:r>
        <w:rPr>
          <w:b/>
          <w:i w:val="0"/>
        </w:rPr>
        <w:t>proposé</w:t>
      </w:r>
      <w:r>
        <w:rPr>
          <w:b w:val="0"/>
          <w:i w:val="0"/>
        </w:rPr>
        <w:t xml:space="preserve"> signifie décrit mais non exécuté ; </w:t>
      </w:r>
      <w:r>
        <w:rPr>
          <w:b/>
          <w:i w:val="0"/>
        </w:rPr>
        <w:t>configuré</w:t>
      </w:r>
      <w:r>
        <w:rPr>
          <w:b w:val="0"/>
          <w:i w:val="0"/>
        </w:rPr>
        <w:t xml:space="preserve"> signifie installé ou paramétré ; </w:t>
      </w:r>
      <w:r>
        <w:rPr>
          <w:b/>
          <w:i w:val="0"/>
        </w:rPr>
        <w:t>testé</w:t>
      </w:r>
      <w:r>
        <w:rPr>
          <w:b w:val="0"/>
          <w:i w:val="0"/>
        </w:rPr>
        <w:t xml:space="preserve"> signifie exécuté avec une preuve reproductible.</w:t>
      </w:r>
    </w:p>
    <w:p>
      <w:pPr>
        <w:pStyle w:val="Légende"/>
        <w:keepNext/>
      </w:pPr>
      <w:r>
        <w:rPr>
          <w:rFonts w:ascii="Calibri" w:hAnsi="Calibri" w:eastAsia="Calibri"/>
          <w:i/>
          <w:color w:val="5B6577"/>
          <w:sz w:val="18"/>
        </w:rPr>
        <w:t xml:space="preserve">Tableau </w:t>
      </w:r>
      <w:r>
        <w:fldChar w:fldCharType="begin"/>
      </w:r>
      <w:r>
        <w:instrText xml:space="preserve"> SEQ Tableau \* ARABIC </w:instrText>
      </w:r>
      <w:r>
        <w:fldChar w:fldCharType="separate"/>
      </w:r>
      <w:r>
        <w:rPr>
          <w:color w:val="5B6577"/>
          <w:sz w:val="18"/>
        </w:rPr>
        <w:t>1</w:t>
      </w:r>
      <w:r>
        <w:fldChar w:fldCharType="end"/>
      </w:r>
      <w:r>
        <w:rPr>
          <w:rFonts w:ascii="Calibri" w:hAnsi="Calibri" w:eastAsia="Calibri"/>
          <w:i/>
          <w:color w:val="5B6577"/>
          <w:sz w:val="18"/>
        </w:rPr>
        <w:t xml:space="preserve"> — Chiffres clés de la campagne de validation</w:t>
      </w:r>
    </w:p>
    <w:tbl>
      <w:tblPr>
        <w:tblW w:type="auto" w:w="0"/>
        <w:jc w:val="center"/>
        <w:tblLayout w:type="fixed"/>
        <w:tblLook w:firstColumn="1" w:firstRow="1" w:lastColumn="0" w:lastRow="0" w:noHBand="0" w:noVBand="1" w:val="04A0"/>
        <w:tblCellMar>
          <w:top w:w="40" w:type="dxa"/>
          <w:left w:w="80" w:type="dxa"/>
          <w:bottom w:w="40" w:type="dxa"/>
          <w:right w:w="80" w:type="dxa"/>
        </w:tblCellMar>
      </w:tblPr>
      <w:tblGrid>
        <w:gridCol w:w="3213"/>
        <w:gridCol w:w="3213"/>
        <w:gridCol w:w="3213"/>
      </w:tblGrid>
      <w:tr>
        <w:trPr>
          <w:tblHeader w:val="true"/>
          <w:cantSplit w:val="true"/>
        </w:trPr>
        <w:tc>
          <w:tcPr>
            <w:tcW w:type="dxa" w:w="2381"/>
            <w:shd w:val="clear" w:color="auto" w:fill="10243F"/>
          </w:tcPr>
          <w:p>
            <w:pPr>
              <w:spacing w:after="0"/>
              <w:jc w:val="center"/>
            </w:pPr>
            <w:r>
              <w:rPr>
                <w:rFonts w:ascii="Calibri" w:hAnsi="Calibri" w:eastAsia="Calibri"/>
                <w:b/>
                <w:color w:val="FFFFFF"/>
                <w:sz w:val="16"/>
              </w:rPr>
              <w:t>Indicateur</w:t>
            </w:r>
          </w:p>
        </w:tc>
        <w:tc>
          <w:tcPr>
            <w:tcW w:type="dxa" w:w="2041"/>
            <w:shd w:val="clear" w:color="auto" w:fill="10243F"/>
          </w:tcPr>
          <w:p>
            <w:pPr>
              <w:spacing w:after="0"/>
              <w:jc w:val="center"/>
            </w:pPr>
            <w:r>
              <w:rPr>
                <w:rFonts w:ascii="Calibri" w:hAnsi="Calibri" w:eastAsia="Calibri"/>
                <w:b/>
                <w:color w:val="FFFFFF"/>
                <w:sz w:val="16"/>
              </w:rPr>
              <w:t>Résultat</w:t>
            </w:r>
          </w:p>
        </w:tc>
        <w:tc>
          <w:tcPr>
            <w:tcW w:type="dxa" w:w="4989"/>
            <w:shd w:val="clear" w:color="auto" w:fill="10243F"/>
          </w:tcPr>
          <w:p>
            <w:pPr>
              <w:spacing w:after="0"/>
              <w:jc w:val="center"/>
            </w:pPr>
            <w:r>
              <w:rPr>
                <w:rFonts w:ascii="Calibri" w:hAnsi="Calibri" w:eastAsia="Calibri"/>
                <w:b/>
                <w:color w:val="FFFFFF"/>
                <w:sz w:val="16"/>
              </w:rPr>
              <w:t>Ce que cela signifie</w:t>
            </w:r>
          </w:p>
        </w:tc>
      </w:tr>
      <w:tr>
        <w:trPr>
          <w:cantSplit w:val="true"/>
        </w:trPr>
        <w:tc>
          <w:tcPr>
            <w:tcW w:type="dxa" w:w="2381"/>
          </w:tcPr>
          <w:p>
            <w:pPr>
              <w:spacing w:after="0" w:line="245" w:lineRule="auto"/>
              <w:jc w:val="left"/>
            </w:pPr>
            <w:r>
              <w:rPr>
                <w:b/>
                <w:i w:val="0"/>
                <w:sz w:val="16"/>
              </w:rPr>
              <w:t>Scénarios exécutés</w:t>
            </w:r>
          </w:p>
        </w:tc>
        <w:tc>
          <w:tcPr>
            <w:tcW w:type="dxa" w:w="2041"/>
          </w:tcPr>
          <w:p>
            <w:pPr>
              <w:spacing w:after="0" w:line="245" w:lineRule="auto"/>
              <w:jc w:val="left"/>
            </w:pPr>
            <w:r>
              <w:rPr>
                <w:b w:val="0"/>
                <w:i w:val="0"/>
                <w:sz w:val="16"/>
              </w:rPr>
              <w:t>31 / 31</w:t>
            </w:r>
          </w:p>
        </w:tc>
        <w:tc>
          <w:tcPr>
            <w:tcW w:type="dxa" w:w="4989"/>
          </w:tcPr>
          <w:p>
            <w:pPr>
              <w:spacing w:after="0" w:line="245" w:lineRule="auto"/>
              <w:jc w:val="left"/>
            </w:pPr>
            <w:r>
              <w:rPr>
                <w:b w:val="0"/>
                <w:i w:val="0"/>
                <w:sz w:val="16"/>
              </w:rPr>
              <w:t>15 scénarios nominaux ou de durcissement et 16 scénarios d'abus.</w:t>
            </w:r>
          </w:p>
        </w:tc>
      </w:tr>
      <w:tr>
        <w:trPr>
          <w:cantSplit w:val="true"/>
        </w:trPr>
        <w:tc>
          <w:tcPr>
            <w:tcW w:type="dxa" w:w="2381"/>
            <w:shd w:val="clear" w:color="auto" w:fill="F3F6FA"/>
          </w:tcPr>
          <w:p>
            <w:pPr>
              <w:spacing w:after="0" w:line="245" w:lineRule="auto"/>
              <w:jc w:val="left"/>
            </w:pPr>
            <w:r>
              <w:rPr>
                <w:b/>
                <w:i w:val="0"/>
                <w:sz w:val="16"/>
              </w:rPr>
              <w:t>Abus maîtrisés</w:t>
            </w:r>
          </w:p>
        </w:tc>
        <w:tc>
          <w:tcPr>
            <w:tcW w:type="dxa" w:w="2041"/>
            <w:shd w:val="clear" w:color="auto" w:fill="F3F6FA"/>
          </w:tcPr>
          <w:p>
            <w:pPr>
              <w:spacing w:after="0" w:line="245" w:lineRule="auto"/>
              <w:jc w:val="left"/>
            </w:pPr>
            <w:r>
              <w:rPr>
                <w:b w:val="0"/>
                <w:i w:val="0"/>
                <w:sz w:val="16"/>
              </w:rPr>
              <w:t>16 / 16 (100 %)</w:t>
            </w:r>
          </w:p>
        </w:tc>
        <w:tc>
          <w:tcPr>
            <w:tcW w:type="dxa" w:w="4989"/>
            <w:shd w:val="clear" w:color="auto" w:fill="F3F6FA"/>
          </w:tcPr>
          <w:p>
            <w:pPr>
              <w:spacing w:after="0" w:line="245" w:lineRule="auto"/>
              <w:jc w:val="left"/>
            </w:pPr>
            <w:r>
              <w:rPr>
                <w:b w:val="0"/>
                <w:i w:val="0"/>
                <w:sz w:val="16"/>
              </w:rPr>
              <w:t>Chaque tentative est refusée, neutralisée ou tracée sans fuite.</w:t>
            </w:r>
          </w:p>
        </w:tc>
      </w:tr>
      <w:tr>
        <w:trPr>
          <w:cantSplit w:val="true"/>
        </w:trPr>
        <w:tc>
          <w:tcPr>
            <w:tcW w:type="dxa" w:w="2381"/>
          </w:tcPr>
          <w:p>
            <w:pPr>
              <w:spacing w:after="0" w:line="245" w:lineRule="auto"/>
              <w:jc w:val="left"/>
            </w:pPr>
            <w:r>
              <w:rPr>
                <w:b/>
                <w:i w:val="0"/>
                <w:sz w:val="16"/>
              </w:rPr>
              <w:t>Latence p95</w:t>
            </w:r>
          </w:p>
        </w:tc>
        <w:tc>
          <w:tcPr>
            <w:tcW w:type="dxa" w:w="2041"/>
          </w:tcPr>
          <w:p>
            <w:pPr>
              <w:spacing w:after="0" w:line="245" w:lineRule="auto"/>
              <w:jc w:val="left"/>
            </w:pPr>
            <w:r>
              <w:rPr>
                <w:b w:val="0"/>
                <w:i w:val="0"/>
                <w:sz w:val="16"/>
              </w:rPr>
              <w:t>12,42 ms</w:t>
            </w:r>
          </w:p>
        </w:tc>
        <w:tc>
          <w:tcPr>
            <w:tcW w:type="dxa" w:w="4989"/>
          </w:tcPr>
          <w:p>
            <w:pPr>
              <w:spacing w:after="0" w:line="245" w:lineRule="auto"/>
              <w:jc w:val="left"/>
            </w:pPr>
            <w:r>
              <w:rPr>
                <w:b w:val="0"/>
                <w:i w:val="0"/>
                <w:sz w:val="16"/>
              </w:rPr>
              <w:t>Sur 60 requêtes locales, sans réseau, avec audit à chaque appel.</w:t>
            </w:r>
          </w:p>
        </w:tc>
      </w:tr>
      <w:tr>
        <w:trPr>
          <w:cantSplit w:val="true"/>
        </w:trPr>
        <w:tc>
          <w:tcPr>
            <w:tcW w:type="dxa" w:w="2381"/>
            <w:shd w:val="clear" w:color="auto" w:fill="F3F6FA"/>
          </w:tcPr>
          <w:p>
            <w:pPr>
              <w:spacing w:after="0" w:line="245" w:lineRule="auto"/>
              <w:jc w:val="left"/>
            </w:pPr>
            <w:r>
              <w:rPr>
                <w:b/>
                <w:i w:val="0"/>
                <w:sz w:val="16"/>
              </w:rPr>
              <w:t>Révocation</w:t>
            </w:r>
          </w:p>
        </w:tc>
        <w:tc>
          <w:tcPr>
            <w:tcW w:type="dxa" w:w="2041"/>
            <w:shd w:val="clear" w:color="auto" w:fill="F3F6FA"/>
          </w:tcPr>
          <w:p>
            <w:pPr>
              <w:spacing w:after="0" w:line="245" w:lineRule="auto"/>
              <w:jc w:val="left"/>
            </w:pPr>
            <w:r>
              <w:rPr>
                <w:b w:val="0"/>
                <w:i w:val="0"/>
                <w:sz w:val="16"/>
              </w:rPr>
              <w:t>10,0 ms</w:t>
            </w:r>
          </w:p>
        </w:tc>
        <w:tc>
          <w:tcPr>
            <w:tcW w:type="dxa" w:w="4989"/>
            <w:shd w:val="clear" w:color="auto" w:fill="F3F6FA"/>
          </w:tcPr>
          <w:p>
            <w:pPr>
              <w:spacing w:after="0" w:line="245" w:lineRule="auto"/>
              <w:jc w:val="left"/>
            </w:pPr>
            <w:r>
              <w:rPr>
                <w:b w:val="0"/>
                <w:i w:val="0"/>
                <w:sz w:val="16"/>
              </w:rPr>
              <w:t>Le jeton révoqué est refusé à la requête suivante, sans redémarrage.</w:t>
            </w:r>
          </w:p>
        </w:tc>
      </w:tr>
      <w:tr>
        <w:trPr>
          <w:cantSplit w:val="true"/>
        </w:trPr>
        <w:tc>
          <w:tcPr>
            <w:tcW w:type="dxa" w:w="2381"/>
          </w:tcPr>
          <w:p>
            <w:pPr>
              <w:spacing w:after="0" w:line="245" w:lineRule="auto"/>
              <w:jc w:val="left"/>
            </w:pPr>
            <w:r>
              <w:rPr>
                <w:b/>
                <w:i w:val="0"/>
                <w:sz w:val="16"/>
              </w:rPr>
              <w:t>Audit</w:t>
            </w:r>
          </w:p>
        </w:tc>
        <w:tc>
          <w:tcPr>
            <w:tcW w:type="dxa" w:w="2041"/>
          </w:tcPr>
          <w:p>
            <w:pPr>
              <w:spacing w:after="0" w:line="245" w:lineRule="auto"/>
              <w:jc w:val="left"/>
            </w:pPr>
            <w:r>
              <w:rPr>
                <w:b w:val="0"/>
                <w:i w:val="0"/>
                <w:sz w:val="16"/>
              </w:rPr>
              <w:t>115 / 115 appels</w:t>
            </w:r>
          </w:p>
        </w:tc>
        <w:tc>
          <w:tcPr>
            <w:tcW w:type="dxa" w:w="4989"/>
          </w:tcPr>
          <w:p>
            <w:pPr>
              <w:spacing w:after="0" w:line="245" w:lineRule="auto"/>
              <w:jc w:val="left"/>
            </w:pPr>
            <w:r>
              <w:rPr>
                <w:b w:val="0"/>
                <w:i w:val="0"/>
                <w:sz w:val="16"/>
              </w:rPr>
              <w:t>Tous les appels attendus sont journalisés ; la chaîne est valide.</w:t>
            </w:r>
          </w:p>
        </w:tc>
      </w:tr>
      <w:tr>
        <w:trPr>
          <w:cantSplit w:val="true"/>
        </w:trPr>
        <w:tc>
          <w:tcPr>
            <w:tcW w:type="dxa" w:w="2381"/>
            <w:shd w:val="clear" w:color="auto" w:fill="F3F6FA"/>
          </w:tcPr>
          <w:p>
            <w:pPr>
              <w:spacing w:after="0" w:line="245" w:lineRule="auto"/>
              <w:jc w:val="left"/>
            </w:pPr>
            <w:r>
              <w:rPr>
                <w:b/>
                <w:i w:val="0"/>
                <w:sz w:val="16"/>
              </w:rPr>
              <w:t>Avant / après</w:t>
            </w:r>
          </w:p>
        </w:tc>
        <w:tc>
          <w:tcPr>
            <w:tcW w:type="dxa" w:w="2041"/>
            <w:shd w:val="clear" w:color="auto" w:fill="F3F6FA"/>
          </w:tcPr>
          <w:p>
            <w:pPr>
              <w:spacing w:after="0" w:line="245" w:lineRule="auto"/>
              <w:jc w:val="left"/>
            </w:pPr>
            <w:r>
              <w:rPr>
                <w:b w:val="0"/>
                <w:i w:val="0"/>
                <w:sz w:val="16"/>
              </w:rPr>
              <w:t>8 → 0 faiblesse</w:t>
            </w:r>
          </w:p>
        </w:tc>
        <w:tc>
          <w:tcPr>
            <w:tcW w:type="dxa" w:w="4989"/>
            <w:shd w:val="clear" w:color="auto" w:fill="F3F6FA"/>
          </w:tcPr>
          <w:p>
            <w:pPr>
              <w:spacing w:after="0" w:line="245" w:lineRule="auto"/>
              <w:jc w:val="left"/>
            </w:pPr>
            <w:r>
              <w:rPr>
                <w:b w:val="0"/>
                <w:i w:val="0"/>
                <w:sz w:val="16"/>
              </w:rPr>
              <w:t>La maquette témoin échoue sur les huit contrôles comparés.</w:t>
            </w:r>
          </w:p>
        </w:tc>
      </w:tr>
      <w:tr>
        <w:trPr>
          <w:cantSplit w:val="true"/>
        </w:trPr>
        <w:tc>
          <w:tcPr>
            <w:tcW w:type="dxa" w:w="2381"/>
          </w:tcPr>
          <w:p>
            <w:pPr>
              <w:spacing w:after="0" w:line="245" w:lineRule="auto"/>
              <w:jc w:val="left"/>
            </w:pPr>
            <w:r>
              <w:rPr>
                <w:b/>
                <w:i w:val="0"/>
                <w:sz w:val="16"/>
              </w:rPr>
              <w:t>Injection</w:t>
            </w:r>
          </w:p>
        </w:tc>
        <w:tc>
          <w:tcPr>
            <w:tcW w:type="dxa" w:w="2041"/>
          </w:tcPr>
          <w:p>
            <w:pPr>
              <w:spacing w:after="0" w:line="245" w:lineRule="auto"/>
              <w:jc w:val="left"/>
            </w:pPr>
            <w:r>
              <w:rPr>
                <w:b w:val="0"/>
                <w:i w:val="0"/>
                <w:sz w:val="16"/>
              </w:rPr>
              <w:t>3 / 3 · 0 faux positif</w:t>
            </w:r>
          </w:p>
        </w:tc>
        <w:tc>
          <w:tcPr>
            <w:tcW w:type="dxa" w:w="4989"/>
          </w:tcPr>
          <w:p>
            <w:pPr>
              <w:spacing w:after="0" w:line="245" w:lineRule="auto"/>
              <w:jc w:val="left"/>
            </w:pPr>
            <w:r>
              <w:rPr>
                <w:b w:val="0"/>
                <w:i w:val="0"/>
                <w:sz w:val="16"/>
              </w:rPr>
              <w:t>Trois payloads détectés, aucun bulletin bénin signalé à tort.</w:t>
            </w:r>
          </w:p>
        </w:tc>
      </w:tr>
      <w:tr>
        <w:trPr>
          <w:cantSplit w:val="true"/>
        </w:trPr>
        <w:tc>
          <w:tcPr>
            <w:tcW w:type="dxa" w:w="2381"/>
            <w:shd w:val="clear" w:color="auto" w:fill="F3F6FA"/>
          </w:tcPr>
          <w:p>
            <w:pPr>
              <w:spacing w:after="0" w:line="245" w:lineRule="auto"/>
              <w:jc w:val="left"/>
            </w:pPr>
            <w:r>
              <w:rPr>
                <w:b/>
                <w:i w:val="0"/>
                <w:sz w:val="16"/>
              </w:rPr>
              <w:t>Durcissement</w:t>
            </w:r>
          </w:p>
        </w:tc>
        <w:tc>
          <w:tcPr>
            <w:tcW w:type="dxa" w:w="2041"/>
            <w:shd w:val="clear" w:color="auto" w:fill="F3F6FA"/>
          </w:tcPr>
          <w:p>
            <w:pPr>
              <w:spacing w:after="0" w:line="245" w:lineRule="auto"/>
              <w:jc w:val="left"/>
            </w:pPr>
            <w:r>
              <w:rPr>
                <w:b w:val="0"/>
                <w:i w:val="0"/>
                <w:sz w:val="16"/>
              </w:rPr>
              <w:t>uid 65534</w:t>
            </w:r>
          </w:p>
        </w:tc>
        <w:tc>
          <w:tcPr>
            <w:tcW w:type="dxa" w:w="4989"/>
            <w:shd w:val="clear" w:color="auto" w:fill="F3F6FA"/>
          </w:tcPr>
          <w:p>
            <w:pPr>
              <w:spacing w:after="0" w:line="245" w:lineRule="auto"/>
              <w:jc w:val="left"/>
            </w:pPr>
            <w:r>
              <w:rPr>
                <w:b w:val="0"/>
                <w:i w:val="0"/>
                <w:sz w:val="16"/>
              </w:rPr>
              <w:t>Le service tourne sous « nobody », base 0440, clé 0400.</w:t>
            </w:r>
          </w:p>
        </w:tc>
      </w:tr>
    </w:tbl>
    <w:p>
      <w:pPr>
        <w:pStyle w:val="Source"/>
      </w:pPr>
      <w:r>
        <w:rPr>
          <w:rFonts w:ascii="Calibri" w:hAnsi="Calibri" w:eastAsia="Calibri"/>
          <w:i/>
          <w:color w:val="5B6577"/>
          <w:sz w:val="16"/>
        </w:rPr>
        <w:t>Source : preuves/logs/tests_latest.json, exécution du 27 octobre 2026 à 13:16 UTC.</w:t>
      </w:r>
    </w:p>
    <w:p>
      <w:pPr>
        <w:keepNext w:val="0"/>
      </w:pPr>
      <w:r>
        <w:rPr>
          <w:b w:val="0"/>
          <w:i w:val="0"/>
        </w:rPr>
        <w:t>Le rapport est organisé selon les cinq phases demandées. La partie I couvre P0 à P3 et se termine par une checklist de validation 1. La partie II couvre P4 et P5, avec le journal horodaté, les tests, les métriques, l'échec intermédiaire corrigé et les limites. Une note de synthèse, une conclusion, une bibliographie et cinq annexes complètent le dossier. Nous avons préféré des tableaux de preuve compacts et des captures lisibles, et systématiquement indiqué la source de chaque chiffre.</w:t>
      </w:r>
    </w:p>
    <w:tbl>
      <w:tblPr>
        <w:tblW w:type="auto" w:w="0"/>
        <w:jc w:val="center"/>
        <w:tblLayout w:type="fixed"/>
        <w:tblLook w:firstColumn="1" w:firstRow="1" w:lastColumn="0" w:lastRow="0" w:noHBand="0" w:noVBand="1" w:val="04A0"/>
        <w:tblCellMar>
          <w:top w:w="90" w:type="dxa"/>
          <w:left w:w="140" w:type="dxa"/>
          <w:bottom w:w="90" w:type="dxa"/>
          <w:right w:w="140" w:type="dxa"/>
        </w:tblCellMar>
      </w:tblPr>
      <w:tblGrid>
        <w:gridCol w:w="9638"/>
      </w:tblGrid>
      <w:tr>
        <w:tc>
          <w:tcPr>
            <w:tcW w:type="dxa" w:w="9411"/>
            <w:shd w:val="clear" w:color="auto" w:fill="EEF4FB"/>
            <w:tcBorders>
              <w:top w:val="nil"/>
              <w:bottom w:val="nil"/>
              <w:right w:val="nil"/>
              <w:left w:val="single" w:sz="18" w:color="2F6DB3"/>
            </w:tcBorders>
          </w:tcPr>
          <w:p>
            <w:pPr>
              <w:spacing w:after="40"/>
            </w:pPr>
            <w:r>
              <w:rPr>
                <w:rFonts w:ascii="Calibri" w:hAnsi="Calibri" w:eastAsia="Calibri"/>
                <w:b/>
                <w:color w:val="10243F"/>
                <w:sz w:val="19"/>
              </w:rPr>
              <w:t>Avertissement de périmètre</w:t>
            </w:r>
          </w:p>
          <w:p>
            <w:pPr>
              <w:spacing w:after="0"/>
            </w:pPr>
            <w:r>
              <w:rPr>
                <w:b w:val="0"/>
                <w:i w:val="0"/>
                <w:sz w:val="19"/>
              </w:rPr>
              <w:t xml:space="preserve">Toutes les données sont synthétiques : adresses RFC 5737, domaines </w:t>
            </w:r>
            <w:r>
              <w:rPr>
                <w:rFonts w:ascii="Consolas" w:hAnsi="Consolas" w:eastAsia="Consolas"/>
                <w:b w:val="0"/>
                <w:i w:val="0"/>
                <w:color w:val="1F2A3A"/>
                <w:sz w:val="18"/>
              </w:rPr>
              <w:t>.example</w:t>
            </w:r>
            <w:r>
              <w:rPr>
                <w:b w:val="0"/>
                <w:i w:val="0"/>
                <w:sz w:val="19"/>
              </w:rPr>
              <w:t>, familles et sources fictives. Aucune attaque n'a été menée hors du laboratoire. Les canaris sont des leurres créés pour le projet. Les fonctions de production non testées sont explicitement marquées « proposé » ou « à vérifier ».</w:t>
            </w:r>
          </w:p>
        </w:tc>
      </w:tr>
    </w:tbl>
    <w:p>
      <w:pPr>
        <w:pStyle w:val="Heading1"/>
        <w:pageBreakBefore/>
        <w:pBdr>
          <w:bottom w:val="single" w:sz="12" w:space="4" w:color="B08A3E"/>
        </w:pBdr>
        <w:spacing w:before="1800" w:after="160"/>
      </w:pPr>
      <w:r>
        <w:rPr>
          <w:rFonts w:ascii="Calibri" w:hAnsi="Calibri" w:eastAsia="Calibri"/>
          <w:b/>
          <w:color w:val="10243F"/>
          <w:sz w:val="48"/>
        </w:rPr>
        <w:t>Partie I — Art de protection du secret</w:t>
      </w:r>
    </w:p>
    <w:p>
      <w:pPr>
        <w:spacing w:before="160" w:after="480"/>
      </w:pPr>
      <w:r>
        <w:rPr>
          <w:rFonts w:ascii="Calibri" w:hAnsi="Calibri" w:eastAsia="Calibri"/>
          <w:i/>
          <w:color w:val="5B6577"/>
          <w:sz w:val="23"/>
        </w:rPr>
        <w:t>Du problème réel à l'architecture : cadrage, modèle de menace, exigences, comparatif et conception.</w:t>
      </w:r>
    </w:p>
    <w:p>
      <w:pPr>
        <w:keepNext w:val="0"/>
      </w:pPr>
      <w:r>
        <w:rPr>
          <w:b w:val="0"/>
          <w:i w:val="0"/>
        </w:rPr>
        <w:t>Cette partie construit la décision avant de construire le code. Nous commençons par formuler le problème en termes mesurables, puis nous identifions les actifs, les acteurs et les risques. Les exigences sont ensuite dérivées des risques, et non inventées à côté. Le comparatif justifie le choix d'un serveur dédié plutôt que d'une plateforme commerciale ou d'une passerelle générique. L'architecture, enfin, montre où circulent les étiquettes, où sont placés les points de contrôle et pourquoi il n'existe qu'un seul point de journalisation.</w:t>
      </w:r>
    </w:p>
    <w:p>
      <w:pPr>
        <w:pStyle w:val="Heading1"/>
      </w:pPr>
      <w:r>
        <w:rPr>
          <w:rFonts w:ascii="Calibri" w:hAnsi="Calibri" w:eastAsia="Calibri"/>
          <w:b/>
          <w:color w:val="10243F"/>
          <w:sz w:val="34"/>
        </w:rPr>
        <w:t>1. P0 — Cadrage du projet</w:t>
      </w:r>
    </w:p>
    <w:p>
      <w:pPr>
        <w:pStyle w:val="Heading2"/>
      </w:pPr>
      <w:r>
        <w:rPr>
          <w:rFonts w:ascii="Calibri" w:hAnsi="Calibri" w:eastAsia="Calibri"/>
          <w:b/>
          <w:color w:val="2F6DB3"/>
          <w:sz w:val="28"/>
        </w:rPr>
        <w:t>1.1 Le problème réel, chiffré à notre échelle</w:t>
      </w:r>
    </w:p>
    <w:p>
      <w:pPr>
        <w:keepNext w:val="0"/>
      </w:pPr>
      <w:r>
        <w:rPr>
          <w:b w:val="0"/>
          <w:i w:val="0"/>
        </w:rPr>
        <w:t xml:space="preserve">Le problème n'est pas l'absence de renseignement : il est dans le passage du renseignement vers un agent qui ne comprend ni les niveaux de classification, ni le besoin d'en connaître. Un bulletin Secret peut contenir un canari — une chaîne unique qui permet de détecter une fuite — et l'identité d'une source. Une réponse trop riche, un message d'erreur trop précis ou une recherche non filtrée suffisent à les exposer. Le coût d'une fuite n'est pas seulement technique : il inclut la perte de la source, la rupture de confiance avec le partenaire et, à l'échelle d'une organisation, un coût moyen de </w:t>
      </w:r>
      <w:r>
        <w:rPr>
          <w:b/>
          <w:i w:val="0"/>
        </w:rPr>
        <w:t>4,44 M$</w:t>
      </w:r>
      <w:r>
        <w:rPr>
          <w:b w:val="0"/>
          <w:i w:val="0"/>
        </w:rPr>
        <w:t xml:space="preserve"> pour une violation de données en 2025 selon IBM [1].</w:t>
      </w:r>
    </w:p>
    <w:p>
      <w:pPr>
        <w:keepNext w:val="0"/>
      </w:pPr>
      <w:r>
        <w:rPr>
          <w:b w:val="0"/>
          <w:i w:val="0"/>
        </w:rPr>
        <w:t xml:space="preserve">Nous avons voulu une mesure propre à notre laboratoire, plutôt qu'un chiffre emprunté. La maquette témoin </w:t>
      </w:r>
      <w:r>
        <w:rPr>
          <w:rFonts w:ascii="Consolas" w:hAnsi="Consolas" w:eastAsia="Consolas"/>
          <w:b w:val="0"/>
          <w:i w:val="0"/>
          <w:color w:val="1F2A3A"/>
        </w:rPr>
        <w:t>tests/baseline_naive.py</w:t>
      </w:r>
      <w:r>
        <w:rPr>
          <w:b w:val="0"/>
          <w:i w:val="0"/>
        </w:rPr>
        <w:t xml:space="preserve"> expose les mêmes données sans contrôle d'accès, sans assainissement et sans journal. Sur les huit contrôles comparés, elle échoue </w:t>
      </w:r>
      <w:r>
        <w:rPr>
          <w:b/>
          <w:i w:val="0"/>
        </w:rPr>
        <w:t>huit fois sur huit</w:t>
      </w:r>
      <w:r>
        <w:rPr>
          <w:b w:val="0"/>
          <w:i w:val="0"/>
        </w:rPr>
        <w:t xml:space="preserve"> : elle livre le canari d'un bulletin Secret sans jeton, laisse l'identité de source en clair, transmet une instruction hostile telle quelle, accepte une requête surdimensionnée, ne sépare pas les rôles, ne journalise rien, ne peut pas révoquer et ne limite pas le débit. Le serveur durci échoue zéro fois sur ces mêmes huit contrôles. Ce n'est pas une projection : c'est un différentiel mesuré, reproductible et présenté au chapitre 6.</w:t>
      </w:r>
    </w:p>
    <w:p>
      <w:pPr>
        <w:keepNext w:val="0"/>
      </w:pPr>
      <w:r>
        <w:rPr>
          <w:b w:val="0"/>
          <w:i w:val="0"/>
        </w:rPr>
        <w:t xml:space="preserve">Le problème est donc double. D'un côté, un agent LLM est un </w:t>
      </w:r>
      <w:r>
        <w:rPr>
          <w:b/>
          <w:i w:val="0"/>
        </w:rPr>
        <w:t>délégué confus</w:t>
      </w:r>
      <w:r>
        <w:rPr>
          <w:b w:val="0"/>
          <w:i w:val="0"/>
        </w:rPr>
        <w:t xml:space="preserve"> : il exécute ce qu'on lui demande, y compris une instruction cachée dans un contenu importé. De l'autre, un serveur de renseignement est naturellement tenté d'être généreux : plus il renvoie de contexte, plus l'agent semble utile. La protection du secret exige l'inverse : renvoyer le minimum nécessaire, au bon niveau, avec une trace.</w:t>
      </w:r>
    </w:p>
    <w:p>
      <w:pPr>
        <w:pStyle w:val="Heading2"/>
      </w:pPr>
      <w:r>
        <w:rPr>
          <w:rFonts w:ascii="Calibri" w:hAnsi="Calibri" w:eastAsia="Calibri"/>
          <w:b/>
          <w:color w:val="2F6DB3"/>
          <w:sz w:val="28"/>
        </w:rPr>
        <w:t>1.2 Parties prenantes et attentes</w:t>
      </w:r>
    </w:p>
    <w:p>
      <w:pPr>
        <w:keepNext w:val="0"/>
      </w:pPr>
      <w:r>
        <w:rPr>
          <w:b w:val="0"/>
          <w:i w:val="0"/>
        </w:rPr>
        <w:t>Sept parties prenantes structurent le projet : l'analyste SOC attend rapidité et réponses étiquetées ; le responsable CTI, un audit et une révocation immédiate ; le RSSI et le délégué à la protection des données, la preuve de minimisation ; l'intégrateur d'agents, un contrat d'outil stable ; le partenaire, une source jamais exposée ; l'auditeur ou le jury, des preuves reproductibles ; l'exploitant, une installation sans dépendance ni exposition réseau. Ces attentes convergent vers trois exigences : six outils en lecture seule, des décisions tracées et des refus génériques.</w:t>
      </w:r>
    </w:p>
    <w:p>
      <w:pPr>
        <w:pStyle w:val="Heading2"/>
      </w:pPr>
      <w:r>
        <w:rPr>
          <w:rFonts w:ascii="Calibri" w:hAnsi="Calibri" w:eastAsia="Calibri"/>
          <w:b/>
          <w:color w:val="2F6DB3"/>
          <w:sz w:val="28"/>
        </w:rPr>
        <w:t>1.3 Périmètre inclus et exclu</w:t>
      </w:r>
    </w:p>
    <w:p>
      <w:pPr>
        <w:keepNext w:val="0"/>
      </w:pPr>
      <w:r>
        <w:rPr>
          <w:b/>
          <w:i w:val="0"/>
        </w:rPr>
        <w:t>Inclus</w:t>
      </w:r>
      <w:r>
        <w:rPr>
          <w:b w:val="0"/>
          <w:i w:val="0"/>
        </w:rPr>
        <w:t xml:space="preserve"> : transport MCP stdio (JSON-RPC 2.0, protocole 2025-06-18), six outils en lecture seule et ressources filtrées, jetons HMAC-SHA256 avec rôles, finalités, habilitation 0–3 et compartiments, étiquetage et TLP, masquage de champ, canaris, refus génériques, neutralisation d'injections, journal append-only chaîné, exécution sous « nobody » avec base en lecture seule et absence de client réseau, jeu synthétique de 12 bulletins, 30 IOC et 6 actifs.</w:t>
      </w:r>
    </w:p>
    <w:p>
      <w:pPr>
        <w:keepNext w:val="0"/>
      </w:pPr>
      <w:r>
        <w:rPr>
          <w:b/>
          <w:i w:val="0"/>
        </w:rPr>
        <w:t>Exclus ou laissés à l'intégration</w:t>
      </w:r>
      <w:r>
        <w:rPr>
          <w:b w:val="0"/>
          <w:i w:val="0"/>
        </w:rPr>
        <w:t xml:space="preserve"> : transport HTTP, OAuth 2.1 et mTLS, écriture et connecteurs de flux commerciaux, annuaire d'entreprise et fédération d'identité, chiffrement applicatif et HSM, classification sémantique par modèle, ancrage externe du journal et SIEM, EDR réel et chiffrement de disque, données et campagnes réelles. Ces éléments sont repris comme travaux futurs dans la note de synthèse.</w:t>
      </w:r>
    </w:p>
    <w:p>
      <w:pPr>
        <w:pStyle w:val="Heading2"/>
      </w:pPr>
      <w:r>
        <w:rPr>
          <w:rFonts w:ascii="Calibri" w:hAnsi="Calibri" w:eastAsia="Calibri"/>
          <w:b/>
          <w:color w:val="2F6DB3"/>
          <w:sz w:val="28"/>
        </w:rPr>
        <w:t>1.4 Cinq objectifs mesurables</w:t>
      </w:r>
    </w:p>
    <w:p>
      <w:pPr>
        <w:keepNext w:val="0"/>
      </w:pPr>
      <w:r>
        <w:rPr>
          <w:b w:val="0"/>
          <w:i w:val="0"/>
        </w:rPr>
        <w:t xml:space="preserve">Cinq objectifs mesurables ont guidé la conception : </w:t>
      </w:r>
      <w:r>
        <w:rPr>
          <w:b/>
          <w:i w:val="0"/>
        </w:rPr>
        <w:t>O1</w:t>
      </w:r>
      <w:r>
        <w:rPr>
          <w:b w:val="0"/>
          <w:i w:val="0"/>
        </w:rPr>
        <w:t xml:space="preserve">, aucune réponse classifiée sans droits (16/16 abus maîtrisés, canari absent des refus) ; </w:t>
      </w:r>
      <w:r>
        <w:rPr>
          <w:b/>
          <w:i w:val="0"/>
        </w:rPr>
        <w:t>O2</w:t>
      </w:r>
      <w:r>
        <w:rPr>
          <w:b w:val="0"/>
          <w:i w:val="0"/>
        </w:rPr>
        <w:t xml:space="preserve">, chaque décision traçable et chaîne vérifiable (115/115 appels, 116 entrées) ; </w:t>
      </w:r>
      <w:r>
        <w:rPr>
          <w:b/>
          <w:i w:val="0"/>
        </w:rPr>
        <w:t>O3</w:t>
      </w:r>
      <w:r>
        <w:rPr>
          <w:b w:val="0"/>
          <w:i w:val="0"/>
        </w:rPr>
        <w:t xml:space="preserve">, contenu partenaire hostile neutralisé et signalé (3/3, 0 faux positif sur 11 bénins) ; </w:t>
      </w:r>
      <w:r>
        <w:rPr>
          <w:b/>
          <w:i w:val="0"/>
        </w:rPr>
        <w:t>O4</w:t>
      </w:r>
      <w:r>
        <w:rPr>
          <w:b w:val="0"/>
          <w:i w:val="0"/>
        </w:rPr>
        <w:t xml:space="preserve">, service utilisable (p95 12,42 ms sur 60 requêtes, cible ≤ 50 ms) ; </w:t>
      </w:r>
      <w:r>
        <w:rPr>
          <w:b/>
          <w:i w:val="0"/>
        </w:rPr>
        <w:t>O5</w:t>
      </w:r>
      <w:r>
        <w:rPr>
          <w:b w:val="0"/>
          <w:i w:val="0"/>
        </w:rPr>
        <w:t>, accès révocable immédiatement et service non privilégié (10,0 ms, uid 65534, base 0440). Le détail figure au chapitre 6.</w:t>
      </w:r>
    </w:p>
    <w:p>
      <w:pPr>
        <w:pStyle w:val="Heading2"/>
      </w:pPr>
      <w:r>
        <w:rPr>
          <w:rFonts w:ascii="Calibri" w:hAnsi="Calibri" w:eastAsia="Calibri"/>
          <w:b/>
          <w:color w:val="2F6DB3"/>
          <w:sz w:val="28"/>
        </w:rPr>
        <w:t>1.5 Contraintes de réalisation</w:t>
      </w:r>
    </w:p>
    <w:p>
      <w:pPr>
        <w:keepNext w:val="0"/>
      </w:pPr>
      <w:r>
        <w:rPr>
          <w:b w:val="0"/>
          <w:i w:val="0"/>
        </w:rPr>
        <w:t>Quatre contraintes ont réellement pesé sur l'architecture : aucune donnée réelle ni flux commercial (jeu synthétique étiqueté), aucune attaque hors du laboratoire (scénarios rejoués localement), bibliothèque standard uniquement sous Python 3.14.4 (stdio, sqlite3, hmac, hashlib, json ; venv réservé aux documents) et aucun privilège root (exécution sous « nobody », base 0440, clé 0400). Deux contraintes de contexte — validation le jour de la soutenance, poste WSL2 sans systemd garanti — ont conduit à une architecture légère en trois zones, lancée par script, avec une unité systemd seulement proposée. La traçabilité exigée par le sujet explique enfin la matrice risque → exigence → contrôle et la colonne « statut » de chaque test.</w:t>
      </w:r>
    </w:p>
    <w:p>
      <w:pPr>
        <w:pStyle w:val="Heading2"/>
      </w:pPr>
      <w:r>
        <w:rPr>
          <w:rFonts w:ascii="Calibri" w:hAnsi="Calibri" w:eastAsia="Calibri"/>
          <w:b/>
          <w:color w:val="2F6DB3"/>
          <w:sz w:val="28"/>
        </w:rPr>
        <w:t>1.6 Thèse et fil rouge</w:t>
      </w:r>
    </w:p>
    <w:p>
      <w:pPr>
        <w:spacing w:before="160" w:after="80"/>
        <w:ind w:left="567" w:right="567"/>
        <w:jc w:val="left"/>
      </w:pPr>
      <w:r>
        <w:rPr>
          <w:rFonts w:ascii="Times New Roman" w:hAnsi="Times New Roman" w:eastAsia="Times New Roman"/>
          <w:i/>
          <w:color w:val="10243F"/>
          <w:sz w:val="23"/>
        </w:rPr>
        <w:t>« Un serveur MCP de Threat Intelligence peut rester simple, local et hors ligne tout en rendant la protection du secret démontrable, à condition de traiter l'étiquette, l'habilitation et la trace comme des données de première classe à chaque appel. »</w:t>
      </w:r>
    </w:p>
    <w:p>
      <w:pPr>
        <w:spacing w:after="200"/>
        <w:ind w:right="567"/>
        <w:jc w:val="right"/>
      </w:pPr>
      <w:r>
        <w:rPr>
          <w:rFonts w:ascii="Calibri" w:hAnsi="Calibri" w:eastAsia="Calibri"/>
          <w:color w:val="5B6577"/>
          <w:sz w:val="18"/>
        </w:rPr>
        <w:t>— Thèse du projet</w:t>
      </w:r>
    </w:p>
    <w:p>
      <w:pPr>
        <w:keepNext w:val="0"/>
      </w:pPr>
      <w:r>
        <w:rPr>
          <w:b w:val="0"/>
          <w:i w:val="0"/>
        </w:rPr>
        <w:t xml:space="preserve">Cette thèse a une conséquence de conception : les contrôles ne sont pas des options ajoutées après coup. Ils sont dans le chemin obligatoire de la réponse. Une réponse ne peut pas être produite sans étiquette, sans décision d'habilitation et sans entrée d'audit. C'est ce que nous appelons un </w:t>
      </w:r>
      <w:r>
        <w:rPr>
          <w:b/>
          <w:i w:val="0"/>
        </w:rPr>
        <w:t>chemin de réponse contrôlé</w:t>
      </w:r>
      <w:r>
        <w:rPr>
          <w:b w:val="0"/>
          <w:i w:val="0"/>
        </w:rPr>
        <w:t>, par opposition à une bibliothèque de fonctions que chaque outil pourrait contourner.</w:t>
      </w:r>
    </w:p>
    <w:tbl>
      <w:tblPr>
        <w:tblW w:type="auto" w:w="0"/>
        <w:jc w:val="center"/>
        <w:tblLayout w:type="fixed"/>
        <w:tblLook w:firstColumn="1" w:firstRow="1" w:lastColumn="0" w:lastRow="0" w:noHBand="0" w:noVBand="1" w:val="04A0"/>
        <w:tblCellMar>
          <w:top w:w="90" w:type="dxa"/>
          <w:left w:w="140" w:type="dxa"/>
          <w:bottom w:w="90" w:type="dxa"/>
          <w:right w:w="140" w:type="dxa"/>
        </w:tblCellMar>
      </w:tblPr>
      <w:tblGrid>
        <w:gridCol w:w="9638"/>
      </w:tblGrid>
      <w:tr>
        <w:tc>
          <w:tcPr>
            <w:tcW w:type="dxa" w:w="9411"/>
            <w:shd w:val="clear" w:color="auto" w:fill="EEF4FB"/>
            <w:tcBorders>
              <w:top w:val="nil"/>
              <w:bottom w:val="nil"/>
              <w:right w:val="nil"/>
              <w:left w:val="single" w:sz="18" w:color="2F6DB3"/>
            </w:tcBorders>
          </w:tcPr>
          <w:p>
            <w:pPr>
              <w:spacing w:after="40"/>
            </w:pPr>
            <w:r>
              <w:rPr>
                <w:rFonts w:ascii="Calibri" w:hAnsi="Calibri" w:eastAsia="Calibri"/>
                <w:b/>
                <w:color w:val="10243F"/>
                <w:sz w:val="19"/>
              </w:rPr>
              <w:t>Ce qui reste ouvert à ce stade</w:t>
            </w:r>
          </w:p>
          <w:p>
            <w:pPr>
              <w:spacing w:after="0"/>
            </w:pPr>
            <w:r>
              <w:rPr>
                <w:b w:val="0"/>
                <w:i w:val="0"/>
                <w:sz w:val="19"/>
              </w:rPr>
              <w:t>Le raccordement à un agent EDR réel, à un annuaire d'entreprise et à un ancrage externe du journal relève de l'intégration, pas de la maquette. Ces points sont assumés et repris dans les limites.</w:t>
            </w:r>
          </w:p>
        </w:tc>
      </w:tr>
    </w:tbl>
    <w:p>
      <w:r>
        <w:br w:type="page"/>
      </w:r>
    </w:p>
    <w:p>
      <w:pPr>
        <w:pStyle w:val="Heading2"/>
      </w:pPr>
      <w:r>
        <w:rPr>
          <w:rFonts w:ascii="Calibri" w:hAnsi="Calibri" w:eastAsia="Calibri"/>
          <w:b/>
          <w:color w:val="2F6DB3"/>
          <w:sz w:val="28"/>
        </w:rPr>
        <w:t>1.7 Adéquation au sujet et apports propres</w:t>
      </w:r>
    </w:p>
    <w:p>
      <w:pPr>
        <w:keepNext w:val="0"/>
      </w:pPr>
      <w:r>
        <w:rPr>
          <w:b w:val="0"/>
          <w:i w:val="0"/>
        </w:rPr>
        <w:t xml:space="preserve">Le sujet demandé est le « développement d'un serveur MCP intelligent de Threat Intelligence ». Les trois termes sont couverts sans détour. </w:t>
      </w:r>
      <w:r>
        <w:rPr>
          <w:b/>
          <w:i w:val="0"/>
        </w:rPr>
        <w:t>Serveur MCP</w:t>
      </w:r>
      <w:r>
        <w:rPr>
          <w:b w:val="0"/>
          <w:i w:val="0"/>
        </w:rPr>
        <w:t xml:space="preserve"> : le binaire implémente le protocole 2025-06-18 sur stdio, répond à </w:t>
      </w:r>
      <w:r>
        <w:rPr>
          <w:rFonts w:ascii="Consolas" w:hAnsi="Consolas" w:eastAsia="Consolas"/>
          <w:b w:val="0"/>
          <w:i w:val="0"/>
          <w:color w:val="1F2A3A"/>
        </w:rPr>
        <w:t>initialize</w:t>
      </w:r>
      <w:r>
        <w:rPr>
          <w:b w:val="0"/>
          <w:i w:val="0"/>
        </w:rPr>
        <w:t xml:space="preserve">, </w:t>
      </w:r>
      <w:r>
        <w:rPr>
          <w:rFonts w:ascii="Consolas" w:hAnsi="Consolas" w:eastAsia="Consolas"/>
          <w:b w:val="0"/>
          <w:i w:val="0"/>
          <w:color w:val="1F2A3A"/>
        </w:rPr>
        <w:t>tools/list</w:t>
      </w:r>
      <w:r>
        <w:rPr>
          <w:b w:val="0"/>
          <w:i w:val="0"/>
        </w:rPr>
        <w:t xml:space="preserve">, </w:t>
      </w:r>
      <w:r>
        <w:rPr>
          <w:rFonts w:ascii="Consolas" w:hAnsi="Consolas" w:eastAsia="Consolas"/>
          <w:b w:val="0"/>
          <w:i w:val="0"/>
          <w:color w:val="1F2A3A"/>
        </w:rPr>
        <w:t>tools/call</w:t>
      </w:r>
      <w:r>
        <w:rPr>
          <w:b w:val="0"/>
          <w:i w:val="0"/>
        </w:rPr>
        <w:t xml:space="preserve">, </w:t>
      </w:r>
      <w:r>
        <w:rPr>
          <w:rFonts w:ascii="Consolas" w:hAnsi="Consolas" w:eastAsia="Consolas"/>
          <w:b w:val="0"/>
          <w:i w:val="0"/>
          <w:color w:val="1F2A3A"/>
        </w:rPr>
        <w:t>resources/list</w:t>
      </w:r>
      <w:r>
        <w:rPr>
          <w:b w:val="0"/>
          <w:i w:val="0"/>
        </w:rPr>
        <w:t xml:space="preserve">, </w:t>
      </w:r>
      <w:r>
        <w:rPr>
          <w:rFonts w:ascii="Consolas" w:hAnsi="Consolas" w:eastAsia="Consolas"/>
          <w:b w:val="0"/>
          <w:i w:val="0"/>
          <w:color w:val="1F2A3A"/>
        </w:rPr>
        <w:t>resources/read</w:t>
      </w:r>
      <w:r>
        <w:rPr>
          <w:b w:val="0"/>
          <w:i w:val="0"/>
        </w:rPr>
        <w:t xml:space="preserve"> et </w:t>
      </w:r>
      <w:r>
        <w:rPr>
          <w:rFonts w:ascii="Consolas" w:hAnsi="Consolas" w:eastAsia="Consolas"/>
          <w:b w:val="0"/>
          <w:i w:val="0"/>
          <w:color w:val="1F2A3A"/>
        </w:rPr>
        <w:t>ping</w:t>
      </w:r>
      <w:r>
        <w:rPr>
          <w:b w:val="0"/>
          <w:i w:val="0"/>
        </w:rPr>
        <w:t xml:space="preserve">, et expose six outils en lecture seule. </w:t>
      </w:r>
      <w:r>
        <w:rPr>
          <w:b/>
          <w:i w:val="0"/>
        </w:rPr>
        <w:t>Threat Intelligence</w:t>
      </w:r>
      <w:r>
        <w:rPr>
          <w:b w:val="0"/>
          <w:i w:val="0"/>
        </w:rPr>
        <w:t xml:space="preserve"> : il sert des bulletins, des indicateurs, des acteurs, des actifs et des scores CVSS, EPSS et KEV, avec corrélation par famille de malware. </w:t>
      </w:r>
      <w:r>
        <w:rPr>
          <w:b/>
          <w:i w:val="0"/>
        </w:rPr>
        <w:t>Intelligent</w:t>
      </w:r>
      <w:r>
        <w:rPr>
          <w:b w:val="0"/>
          <w:i w:val="0"/>
        </w:rPr>
        <w:t xml:space="preserve"> : le score composite est expliqué, pondéré par la confiance et la fraîcheur, et le serveur détecte les instructions hostiles glissées dans un bulletin partenaire. Ce n'est donc pas un CRUD renommé : c'est un service d'analyse avec des décisions de sécurité opposables.</w:t>
      </w:r>
    </w:p>
    <w:p>
      <w:pPr>
        <w:keepNext w:val="0"/>
      </w:pPr>
      <w:r>
        <w:rPr>
          <w:b w:val="0"/>
          <w:i w:val="0"/>
        </w:rPr>
        <w:t>L'apport du projet n'est pas un nouvel algorithme. Il est dans la combinaison, à notre connaissance peu documentée, entre un serveur MCP et une chaîne de protection du secret vérifiable à chaque appel. Les serveurs MCP que nous avons étudiés exposent des outils avec une clé d'API et rendent le JSON tel quel ; notre serveur place l'étiquette, l'habilitation, le masquage et la trace dans le chemin obligatoire de la réponse. C'est cette contrainte de passage qui produit la différence, et c'est elle que les tests d'abus cherchent à contourner.</w:t>
      </w:r>
    </w:p>
    <w:p>
      <w:pPr>
        <w:pStyle w:val="Légende"/>
        <w:keepNext/>
      </w:pPr>
      <w:r>
        <w:rPr>
          <w:rFonts w:ascii="Calibri" w:hAnsi="Calibri" w:eastAsia="Calibri"/>
          <w:i/>
          <w:color w:val="5B6577"/>
          <w:sz w:val="18"/>
        </w:rPr>
        <w:t xml:space="preserve">Tableau </w:t>
      </w:r>
      <w:r>
        <w:fldChar w:fldCharType="begin"/>
      </w:r>
      <w:r>
        <w:instrText xml:space="preserve"> SEQ Tableau \* ARABIC </w:instrText>
      </w:r>
      <w:r>
        <w:fldChar w:fldCharType="separate"/>
      </w:r>
      <w:r>
        <w:rPr>
          <w:color w:val="5B6577"/>
          <w:sz w:val="18"/>
        </w:rPr>
        <w:t>2</w:t>
      </w:r>
      <w:r>
        <w:fldChar w:fldCharType="end"/>
      </w:r>
      <w:r>
        <w:rPr>
          <w:rFonts w:ascii="Calibri" w:hAnsi="Calibri" w:eastAsia="Calibri"/>
          <w:i/>
          <w:color w:val="5B6577"/>
          <w:sz w:val="18"/>
        </w:rPr>
        <w:t xml:space="preserve"> — Apports propres et preuves associées</w:t>
      </w:r>
    </w:p>
    <w:tbl>
      <w:tblPr>
        <w:tblW w:type="auto" w:w="0"/>
        <w:jc w:val="center"/>
        <w:tblLayout w:type="fixed"/>
        <w:tblLook w:firstColumn="1" w:firstRow="1" w:lastColumn="0" w:lastRow="0" w:noHBand="0" w:noVBand="1" w:val="04A0"/>
        <w:tblCellMar>
          <w:top w:w="40" w:type="dxa"/>
          <w:left w:w="80" w:type="dxa"/>
          <w:bottom w:w="40" w:type="dxa"/>
          <w:right w:w="80" w:type="dxa"/>
        </w:tblCellMar>
      </w:tblPr>
      <w:tblGrid>
        <w:gridCol w:w="2409"/>
        <w:gridCol w:w="2409"/>
        <w:gridCol w:w="2409"/>
        <w:gridCol w:w="2409"/>
      </w:tblGrid>
      <w:tr>
        <w:trPr>
          <w:tblHeader w:val="true"/>
          <w:cantSplit w:val="true"/>
        </w:trPr>
        <w:tc>
          <w:tcPr>
            <w:tcW w:type="dxa" w:w="1814"/>
            <w:shd w:val="clear" w:color="auto" w:fill="10243F"/>
          </w:tcPr>
          <w:p>
            <w:pPr>
              <w:spacing w:after="0"/>
              <w:jc w:val="center"/>
            </w:pPr>
            <w:r>
              <w:rPr>
                <w:rFonts w:ascii="Calibri" w:hAnsi="Calibri" w:eastAsia="Calibri"/>
                <w:b/>
                <w:color w:val="FFFFFF"/>
                <w:sz w:val="15"/>
              </w:rPr>
              <w:t>Apport</w:t>
            </w:r>
          </w:p>
        </w:tc>
        <w:tc>
          <w:tcPr>
            <w:tcW w:type="dxa" w:w="2494"/>
            <w:shd w:val="clear" w:color="auto" w:fill="10243F"/>
          </w:tcPr>
          <w:p>
            <w:pPr>
              <w:spacing w:after="0"/>
              <w:jc w:val="center"/>
            </w:pPr>
            <w:r>
              <w:rPr>
                <w:rFonts w:ascii="Calibri" w:hAnsi="Calibri" w:eastAsia="Calibri"/>
                <w:b/>
                <w:color w:val="FFFFFF"/>
                <w:sz w:val="15"/>
              </w:rPr>
              <w:t>Pratique étudiée</w:t>
            </w:r>
          </w:p>
        </w:tc>
        <w:tc>
          <w:tcPr>
            <w:tcW w:type="dxa" w:w="3685"/>
            <w:shd w:val="clear" w:color="auto" w:fill="10243F"/>
          </w:tcPr>
          <w:p>
            <w:pPr>
              <w:spacing w:after="0"/>
              <w:jc w:val="center"/>
            </w:pPr>
            <w:r>
              <w:rPr>
                <w:rFonts w:ascii="Calibri" w:hAnsi="Calibri" w:eastAsia="Calibri"/>
                <w:b/>
                <w:color w:val="FFFFFF"/>
                <w:sz w:val="15"/>
              </w:rPr>
              <w:t>Notre serveur</w:t>
            </w:r>
          </w:p>
        </w:tc>
        <w:tc>
          <w:tcPr>
            <w:tcW w:type="dxa" w:w="1757"/>
            <w:shd w:val="clear" w:color="auto" w:fill="10243F"/>
          </w:tcPr>
          <w:p>
            <w:pPr>
              <w:spacing w:after="0"/>
              <w:jc w:val="center"/>
            </w:pPr>
            <w:r>
              <w:rPr>
                <w:rFonts w:ascii="Calibri" w:hAnsi="Calibri" w:eastAsia="Calibri"/>
                <w:b/>
                <w:color w:val="FFFFFF"/>
                <w:sz w:val="15"/>
              </w:rPr>
              <w:t>Preuve</w:t>
            </w:r>
          </w:p>
        </w:tc>
      </w:tr>
      <w:tr>
        <w:trPr>
          <w:cantSplit w:val="true"/>
        </w:trPr>
        <w:tc>
          <w:tcPr>
            <w:tcW w:type="dxa" w:w="1814"/>
          </w:tcPr>
          <w:p>
            <w:pPr>
              <w:spacing w:after="0" w:line="245" w:lineRule="auto"/>
              <w:jc w:val="left"/>
            </w:pPr>
            <w:r>
              <w:rPr>
                <w:b w:val="0"/>
                <w:i w:val="0"/>
                <w:sz w:val="15"/>
              </w:rPr>
              <w:t>Accès au secret</w:t>
            </w:r>
          </w:p>
        </w:tc>
        <w:tc>
          <w:tcPr>
            <w:tcW w:type="dxa" w:w="2494"/>
          </w:tcPr>
          <w:p>
            <w:pPr>
              <w:spacing w:after="0" w:line="245" w:lineRule="auto"/>
              <w:jc w:val="left"/>
            </w:pPr>
            <w:r>
              <w:rPr>
                <w:b w:val="0"/>
                <w:i w:val="0"/>
                <w:sz w:val="15"/>
              </w:rPr>
              <w:t>Clé d'API, tout ou rien</w:t>
            </w:r>
          </w:p>
        </w:tc>
        <w:tc>
          <w:tcPr>
            <w:tcW w:type="dxa" w:w="3685"/>
          </w:tcPr>
          <w:p>
            <w:pPr>
              <w:spacing w:after="0" w:line="245" w:lineRule="auto"/>
              <w:jc w:val="left"/>
            </w:pPr>
            <w:r>
              <w:rPr>
                <w:b w:val="0"/>
                <w:i w:val="0"/>
                <w:sz w:val="15"/>
              </w:rPr>
              <w:t>Treillis Public → Secret, compartiments, besoin d'en connaître, posture de poste</w:t>
            </w:r>
          </w:p>
        </w:tc>
        <w:tc>
          <w:tcPr>
            <w:tcW w:type="dxa" w:w="1757"/>
          </w:tcPr>
          <w:p>
            <w:pPr>
              <w:spacing w:after="0" w:line="245" w:lineRule="auto"/>
              <w:jc w:val="left"/>
            </w:pPr>
            <w:r>
              <w:rPr>
                <w:b w:val="0"/>
                <w:i w:val="0"/>
                <w:sz w:val="15"/>
              </w:rPr>
              <w:t>A06, A07, EF-05 à EF-08</w:t>
            </w:r>
          </w:p>
        </w:tc>
      </w:tr>
      <w:tr>
        <w:trPr>
          <w:cantSplit w:val="true"/>
        </w:trPr>
        <w:tc>
          <w:tcPr>
            <w:tcW w:type="dxa" w:w="1814"/>
            <w:shd w:val="clear" w:color="auto" w:fill="F3F6FA"/>
          </w:tcPr>
          <w:p>
            <w:pPr>
              <w:spacing w:after="0" w:line="245" w:lineRule="auto"/>
              <w:jc w:val="left"/>
            </w:pPr>
            <w:r>
              <w:rPr>
                <w:b w:val="0"/>
                <w:i w:val="0"/>
                <w:sz w:val="15"/>
              </w:rPr>
              <w:t>Étiquette dans la réponse</w:t>
            </w:r>
          </w:p>
        </w:tc>
        <w:tc>
          <w:tcPr>
            <w:tcW w:type="dxa" w:w="2494"/>
            <w:shd w:val="clear" w:color="auto" w:fill="F3F6FA"/>
          </w:tcPr>
          <w:p>
            <w:pPr>
              <w:spacing w:after="0" w:line="245" w:lineRule="auto"/>
              <w:jc w:val="left"/>
            </w:pPr>
            <w:r>
              <w:rPr>
                <w:b w:val="0"/>
                <w:i w:val="0"/>
                <w:sz w:val="15"/>
              </w:rPr>
              <w:t>JSON brut, classification hors bande</w:t>
            </w:r>
          </w:p>
        </w:tc>
        <w:tc>
          <w:tcPr>
            <w:tcW w:type="dxa" w:w="3685"/>
            <w:shd w:val="clear" w:color="auto" w:fill="F3F6FA"/>
          </w:tcPr>
          <w:p>
            <w:pPr>
              <w:spacing w:after="0" w:line="245" w:lineRule="auto"/>
              <w:jc w:val="left"/>
            </w:pPr>
            <w:r>
              <w:rPr>
                <w:b w:val="0"/>
                <w:i w:val="0"/>
                <w:sz w:val="15"/>
              </w:rPr>
              <w:t>Étiquette, masquage de champs et canaris dans chaque réponse</w:t>
            </w:r>
          </w:p>
        </w:tc>
        <w:tc>
          <w:tcPr>
            <w:tcW w:type="dxa" w:w="1757"/>
            <w:shd w:val="clear" w:color="auto" w:fill="F3F6FA"/>
          </w:tcPr>
          <w:p>
            <w:pPr>
              <w:spacing w:after="0" w:line="245" w:lineRule="auto"/>
              <w:jc w:val="left"/>
            </w:pPr>
            <w:r>
              <w:rPr>
                <w:b w:val="0"/>
                <w:i w:val="0"/>
                <w:sz w:val="15"/>
              </w:rPr>
              <w:t>A10, EF-12</w:t>
            </w:r>
          </w:p>
        </w:tc>
      </w:tr>
      <w:tr>
        <w:trPr>
          <w:cantSplit w:val="true"/>
        </w:trPr>
        <w:tc>
          <w:tcPr>
            <w:tcW w:type="dxa" w:w="1814"/>
          </w:tcPr>
          <w:p>
            <w:pPr>
              <w:spacing w:after="0" w:line="245" w:lineRule="auto"/>
              <w:jc w:val="left"/>
            </w:pPr>
            <w:r>
              <w:rPr>
                <w:b w:val="0"/>
                <w:i w:val="0"/>
                <w:sz w:val="15"/>
              </w:rPr>
              <w:t>Contenu partenaire</w:t>
            </w:r>
          </w:p>
        </w:tc>
        <w:tc>
          <w:tcPr>
            <w:tcW w:type="dxa" w:w="2494"/>
          </w:tcPr>
          <w:p>
            <w:pPr>
              <w:spacing w:after="0" w:line="245" w:lineRule="auto"/>
              <w:jc w:val="left"/>
            </w:pPr>
            <w:r>
              <w:rPr>
                <w:b w:val="0"/>
                <w:i w:val="0"/>
                <w:sz w:val="15"/>
              </w:rPr>
              <w:t>Transmis tel quel au modèle</w:t>
            </w:r>
          </w:p>
        </w:tc>
        <w:tc>
          <w:tcPr>
            <w:tcW w:type="dxa" w:w="3685"/>
          </w:tcPr>
          <w:p>
            <w:pPr>
              <w:spacing w:after="0" w:line="245" w:lineRule="auto"/>
              <w:jc w:val="left"/>
            </w:pPr>
            <w:r>
              <w:rPr>
                <w:b w:val="0"/>
                <w:i w:val="0"/>
                <w:sz w:val="15"/>
              </w:rPr>
              <w:t>Instruction hostile rendue inerte, signalée et journalisée</w:t>
            </w:r>
          </w:p>
        </w:tc>
        <w:tc>
          <w:tcPr>
            <w:tcW w:type="dxa" w:w="1757"/>
          </w:tcPr>
          <w:p>
            <w:pPr>
              <w:spacing w:after="0" w:line="245" w:lineRule="auto"/>
              <w:jc w:val="left"/>
            </w:pPr>
            <w:r>
              <w:rPr>
                <w:b w:val="0"/>
                <w:i w:val="0"/>
                <w:sz w:val="15"/>
              </w:rPr>
              <w:t>A12, A15, 3/3</w:t>
            </w:r>
          </w:p>
        </w:tc>
      </w:tr>
      <w:tr>
        <w:trPr>
          <w:cantSplit w:val="true"/>
        </w:trPr>
        <w:tc>
          <w:tcPr>
            <w:tcW w:type="dxa" w:w="1814"/>
            <w:shd w:val="clear" w:color="auto" w:fill="F3F6FA"/>
          </w:tcPr>
          <w:p>
            <w:pPr>
              <w:spacing w:after="0" w:line="245" w:lineRule="auto"/>
              <w:jc w:val="left"/>
            </w:pPr>
            <w:r>
              <w:rPr>
                <w:b w:val="0"/>
                <w:i w:val="0"/>
                <w:sz w:val="15"/>
              </w:rPr>
              <w:t>Traçabilité</w:t>
            </w:r>
          </w:p>
        </w:tc>
        <w:tc>
          <w:tcPr>
            <w:tcW w:type="dxa" w:w="2494"/>
            <w:shd w:val="clear" w:color="auto" w:fill="F3F6FA"/>
          </w:tcPr>
          <w:p>
            <w:pPr>
              <w:spacing w:after="0" w:line="245" w:lineRule="auto"/>
              <w:jc w:val="left"/>
            </w:pPr>
            <w:r>
              <w:rPr>
                <w:b w:val="0"/>
                <w:i w:val="0"/>
                <w:sz w:val="15"/>
              </w:rPr>
              <w:t>Journal applicatif non chaîné</w:t>
            </w:r>
          </w:p>
        </w:tc>
        <w:tc>
          <w:tcPr>
            <w:tcW w:type="dxa" w:w="3685"/>
            <w:shd w:val="clear" w:color="auto" w:fill="F3F6FA"/>
          </w:tcPr>
          <w:p>
            <w:pPr>
              <w:spacing w:after="0" w:line="245" w:lineRule="auto"/>
              <w:jc w:val="left"/>
            </w:pPr>
            <w:r>
              <w:rPr>
                <w:b w:val="0"/>
                <w:i w:val="0"/>
                <w:sz w:val="15"/>
              </w:rPr>
              <w:t>Chaîne d'empreintes en échec fermé, 115 appels sur 115 tracés</w:t>
            </w:r>
          </w:p>
        </w:tc>
        <w:tc>
          <w:tcPr>
            <w:tcW w:type="dxa" w:w="1757"/>
            <w:shd w:val="clear" w:color="auto" w:fill="F3F6FA"/>
          </w:tcPr>
          <w:p>
            <w:pPr>
              <w:spacing w:after="0" w:line="245" w:lineRule="auto"/>
              <w:jc w:val="left"/>
            </w:pPr>
            <w:r>
              <w:rPr>
                <w:b w:val="0"/>
                <w:i w:val="0"/>
                <w:sz w:val="15"/>
              </w:rPr>
              <w:t>A14, ENF-03</w:t>
            </w:r>
          </w:p>
        </w:tc>
      </w:tr>
      <w:tr>
        <w:trPr>
          <w:cantSplit w:val="true"/>
        </w:trPr>
        <w:tc>
          <w:tcPr>
            <w:tcW w:type="dxa" w:w="1814"/>
          </w:tcPr>
          <w:p>
            <w:pPr>
              <w:spacing w:after="0" w:line="245" w:lineRule="auto"/>
              <w:jc w:val="left"/>
            </w:pPr>
            <w:r>
              <w:rPr>
                <w:b w:val="0"/>
                <w:i w:val="0"/>
                <w:sz w:val="15"/>
              </w:rPr>
              <w:t>Reproductibilité</w:t>
            </w:r>
          </w:p>
        </w:tc>
        <w:tc>
          <w:tcPr>
            <w:tcW w:type="dxa" w:w="2494"/>
          </w:tcPr>
          <w:p>
            <w:pPr>
              <w:spacing w:after="0" w:line="245" w:lineRule="auto"/>
              <w:jc w:val="left"/>
            </w:pPr>
            <w:r>
              <w:rPr>
                <w:b w:val="0"/>
                <w:i w:val="0"/>
                <w:sz w:val="15"/>
              </w:rPr>
              <w:t>Démonstration manuelle</w:t>
            </w:r>
          </w:p>
        </w:tc>
        <w:tc>
          <w:tcPr>
            <w:tcW w:type="dxa" w:w="3685"/>
          </w:tcPr>
          <w:p>
            <w:pPr>
              <w:spacing w:after="0" w:line="245" w:lineRule="auto"/>
              <w:jc w:val="left"/>
            </w:pPr>
            <w:r>
              <w:rPr>
                <w:b w:val="0"/>
                <w:i w:val="0"/>
                <w:sz w:val="15"/>
              </w:rPr>
              <w:t>31 scénarios, données synthétiques, laboratoire hors ligne</w:t>
            </w:r>
          </w:p>
        </w:tc>
        <w:tc>
          <w:tcPr>
            <w:tcW w:type="dxa" w:w="1757"/>
          </w:tcPr>
          <w:p>
            <w:pPr>
              <w:spacing w:after="0" w:line="245" w:lineRule="auto"/>
              <w:jc w:val="left"/>
            </w:pPr>
            <w:r>
              <w:rPr>
                <w:b w:val="0"/>
                <w:i w:val="0"/>
                <w:sz w:val="15"/>
              </w:rPr>
              <w:t xml:space="preserve">31/31, </w:t>
            </w:r>
            <w:r>
              <w:rPr>
                <w:rFonts w:ascii="Consolas" w:hAnsi="Consolas" w:eastAsia="Consolas"/>
                <w:b w:val="0"/>
                <w:i w:val="0"/>
                <w:color w:val="1F2A3A"/>
                <w:sz w:val="14"/>
              </w:rPr>
              <w:t>preuves/</w:t>
            </w:r>
          </w:p>
        </w:tc>
      </w:tr>
    </w:tbl>
    <w:p>
      <w:pPr>
        <w:pStyle w:val="Source"/>
      </w:pPr>
      <w:r>
        <w:rPr>
          <w:rFonts w:ascii="Calibri" w:hAnsi="Calibri" w:eastAsia="Calibri"/>
          <w:i/>
          <w:color w:val="5B6577"/>
          <w:sz w:val="16"/>
        </w:rPr>
        <w:t>Source : étude comparative du chapitre 3 et campagne du chapitre 6.</w:t>
      </w:r>
    </w:p>
    <w:p>
      <w:pPr>
        <w:keepNext w:val="0"/>
      </w:pPr>
      <w:r>
        <w:rPr>
          <w:b w:val="0"/>
          <w:i w:val="0"/>
        </w:rPr>
        <w:t>Nous qualifions cette innovation d'</w:t>
      </w:r>
      <w:r>
        <w:rPr>
          <w:b/>
          <w:i w:val="0"/>
        </w:rPr>
        <w:t>ingénierie et d'intégration</w:t>
      </w:r>
      <w:r>
        <w:rPr>
          <w:b w:val="0"/>
          <w:i w:val="0"/>
        </w:rPr>
        <w:t>, pas de rupture scientifique. Elle est défendable parce qu'elle est mesurée : 16 abus sur 16 maîtrisés, zéro fuite de canari, audit complet et révocation immédiate. Elle est aussi limitée : détection d'injection heuristique, pas de transport HTTP, pas d'ancrage externe du journal. Le chapitre 7 nomme ces limites et leur condition de levée.</w:t>
      </w:r>
    </w:p>
    <w:p>
      <w:pPr>
        <w:pStyle w:val="Heading1"/>
        <w:pageBreakBefore/>
      </w:pPr>
      <w:r>
        <w:rPr>
          <w:rFonts w:ascii="Calibri" w:hAnsi="Calibri" w:eastAsia="Calibri"/>
          <w:b/>
          <w:color w:val="10243F"/>
          <w:sz w:val="34"/>
        </w:rPr>
        <w:t>2. P1 — Modèle de menace et exigences</w:t>
      </w:r>
    </w:p>
    <w:p>
      <w:pPr>
        <w:keepNext w:val="0"/>
      </w:pPr>
      <w:r>
        <w:rPr>
          <w:b w:val="0"/>
          <w:i w:val="0"/>
        </w:rPr>
        <w:t>Le modèle de menace est spécifique au sujet : un serveur de renseignement qui parle à un agent LLM. Il ne s'agit pas de lister toutes les menaces informatiques, mais de nommer ce qui peut faire perdre le secret dans ce montage précis. Nous partons des actifs, puis des acteurs et des surfaces, avant de classer les risques par probabilité et impact.</w:t>
      </w:r>
    </w:p>
    <w:p>
      <w:pPr>
        <w:pStyle w:val="Heading2"/>
      </w:pPr>
      <w:r>
        <w:rPr>
          <w:rFonts w:ascii="Calibri" w:hAnsi="Calibri" w:eastAsia="Calibri"/>
          <w:b/>
          <w:color w:val="2F6DB3"/>
          <w:sz w:val="28"/>
        </w:rPr>
        <w:t>2.1 Actifs et niveaux de secret</w:t>
      </w:r>
    </w:p>
    <w:p>
      <w:pPr>
        <w:keepNext w:val="0"/>
      </w:pPr>
      <w:r>
        <w:rPr>
          <w:b w:val="0"/>
          <w:i w:val="0"/>
        </w:rPr>
        <w:t xml:space="preserve">Nous utilisons quatre niveaux : </w:t>
      </w:r>
      <w:r>
        <w:rPr>
          <w:b/>
          <w:i w:val="0"/>
        </w:rPr>
        <w:t>Public (0)</w:t>
      </w:r>
      <w:r>
        <w:rPr>
          <w:b w:val="0"/>
          <w:i w:val="0"/>
        </w:rPr>
        <w:t xml:space="preserve">, </w:t>
      </w:r>
      <w:r>
        <w:rPr>
          <w:b/>
          <w:i w:val="0"/>
        </w:rPr>
        <w:t>Interne (1)</w:t>
      </w:r>
      <w:r>
        <w:rPr>
          <w:b w:val="0"/>
          <w:i w:val="0"/>
        </w:rPr>
        <w:t xml:space="preserve">, </w:t>
      </w:r>
      <w:r>
        <w:rPr>
          <w:b/>
          <w:i w:val="0"/>
        </w:rPr>
        <w:t>Confidentiel (2)</w:t>
      </w:r>
      <w:r>
        <w:rPr>
          <w:b w:val="0"/>
          <w:i w:val="0"/>
        </w:rPr>
        <w:t xml:space="preserve"> et </w:t>
      </w:r>
      <w:r>
        <w:rPr>
          <w:b/>
          <w:i w:val="0"/>
        </w:rPr>
        <w:t>Secret (3)</w:t>
      </w:r>
      <w:r>
        <w:rPr>
          <w:b w:val="0"/>
          <w:i w:val="0"/>
        </w:rPr>
        <w:t>, assortis d'une conversion TLP pour l'échange. Le niveau ne suffit pas : un acteur peut être Secret et ne pas avoir le compartiment CRYPTO. Le besoin d'en connaître est donc modélisé comme un second axe, indépendant du niveau. Le tableau ci-dessous donne les actifs que nous protégeons et la raison de leur classement.</w:t>
      </w:r>
    </w:p>
    <w:p>
      <w:pPr>
        <w:pStyle w:val="Légende"/>
        <w:keepNext/>
      </w:pPr>
      <w:r>
        <w:rPr>
          <w:rFonts w:ascii="Calibri" w:hAnsi="Calibri" w:eastAsia="Calibri"/>
          <w:i/>
          <w:color w:val="5B6577"/>
          <w:sz w:val="18"/>
        </w:rPr>
        <w:t xml:space="preserve">Tableau </w:t>
      </w:r>
      <w:r>
        <w:fldChar w:fldCharType="begin"/>
      </w:r>
      <w:r>
        <w:instrText xml:space="preserve"> SEQ Tableau \* ARABIC </w:instrText>
      </w:r>
      <w:r>
        <w:fldChar w:fldCharType="separate"/>
      </w:r>
      <w:r>
        <w:rPr>
          <w:color w:val="5B6577"/>
          <w:sz w:val="18"/>
        </w:rPr>
        <w:t>3</w:t>
      </w:r>
      <w:r>
        <w:fldChar w:fldCharType="end"/>
      </w:r>
      <w:r>
        <w:rPr>
          <w:rFonts w:ascii="Calibri" w:hAnsi="Calibri" w:eastAsia="Calibri"/>
          <w:i/>
          <w:color w:val="5B6577"/>
          <w:sz w:val="18"/>
        </w:rPr>
        <w:t xml:space="preserve"> — Actifs, classification et localisation</w:t>
      </w:r>
    </w:p>
    <w:tbl>
      <w:tblPr>
        <w:tblW w:type="auto" w:w="0"/>
        <w:jc w:val="center"/>
        <w:tblLayout w:type="fixed"/>
        <w:tblLook w:firstColumn="1" w:firstRow="1" w:lastColumn="0" w:lastRow="0" w:noHBand="0" w:noVBand="1" w:val="04A0"/>
        <w:tblCellMar>
          <w:top w:w="40" w:type="dxa"/>
          <w:left w:w="80" w:type="dxa"/>
          <w:bottom w:w="40" w:type="dxa"/>
          <w:right w:w="80" w:type="dxa"/>
        </w:tblCellMar>
      </w:tblPr>
      <w:tblGrid>
        <w:gridCol w:w="1928"/>
        <w:gridCol w:w="1928"/>
        <w:gridCol w:w="1928"/>
        <w:gridCol w:w="1928"/>
        <w:gridCol w:w="1928"/>
      </w:tblGrid>
      <w:tr>
        <w:trPr>
          <w:tblHeader w:val="true"/>
          <w:cantSplit w:val="true"/>
        </w:trPr>
        <w:tc>
          <w:tcPr>
            <w:tcW w:type="dxa" w:w="510"/>
            <w:shd w:val="clear" w:color="auto" w:fill="10243F"/>
          </w:tcPr>
          <w:p>
            <w:pPr>
              <w:spacing w:after="0"/>
              <w:jc w:val="center"/>
            </w:pPr>
            <w:r>
              <w:rPr>
                <w:rFonts w:ascii="Calibri" w:hAnsi="Calibri" w:eastAsia="Calibri"/>
                <w:b/>
                <w:color w:val="FFFFFF"/>
                <w:sz w:val="16"/>
              </w:rPr>
              <w:t>ID</w:t>
            </w:r>
          </w:p>
        </w:tc>
        <w:tc>
          <w:tcPr>
            <w:tcW w:type="dxa" w:w="2721"/>
            <w:shd w:val="clear" w:color="auto" w:fill="10243F"/>
          </w:tcPr>
          <w:p>
            <w:pPr>
              <w:spacing w:after="0"/>
              <w:jc w:val="center"/>
            </w:pPr>
            <w:r>
              <w:rPr>
                <w:rFonts w:ascii="Calibri" w:hAnsi="Calibri" w:eastAsia="Calibri"/>
                <w:b/>
                <w:color w:val="FFFFFF"/>
                <w:sz w:val="16"/>
              </w:rPr>
              <w:t>Actif</w:t>
            </w:r>
          </w:p>
        </w:tc>
        <w:tc>
          <w:tcPr>
            <w:tcW w:type="dxa" w:w="1928"/>
            <w:shd w:val="clear" w:color="auto" w:fill="10243F"/>
          </w:tcPr>
          <w:p>
            <w:pPr>
              <w:spacing w:after="0"/>
              <w:jc w:val="center"/>
            </w:pPr>
            <w:r>
              <w:rPr>
                <w:rFonts w:ascii="Calibri" w:hAnsi="Calibri" w:eastAsia="Calibri"/>
                <w:b/>
                <w:color w:val="FFFFFF"/>
                <w:sz w:val="16"/>
              </w:rPr>
              <w:t>Niveau / TLP</w:t>
            </w:r>
          </w:p>
        </w:tc>
        <w:tc>
          <w:tcPr>
            <w:tcW w:type="dxa" w:w="2381"/>
            <w:shd w:val="clear" w:color="auto" w:fill="10243F"/>
          </w:tcPr>
          <w:p>
            <w:pPr>
              <w:spacing w:after="0"/>
              <w:jc w:val="center"/>
            </w:pPr>
            <w:r>
              <w:rPr>
                <w:rFonts w:ascii="Calibri" w:hAnsi="Calibri" w:eastAsia="Calibri"/>
                <w:b/>
                <w:color w:val="FFFFFF"/>
                <w:sz w:val="16"/>
              </w:rPr>
              <w:t>Pourquoi ce niveau</w:t>
            </w:r>
          </w:p>
        </w:tc>
        <w:tc>
          <w:tcPr>
            <w:tcW w:type="dxa" w:w="1871"/>
            <w:shd w:val="clear" w:color="auto" w:fill="10243F"/>
          </w:tcPr>
          <w:p>
            <w:pPr>
              <w:spacing w:after="0"/>
              <w:jc w:val="center"/>
            </w:pPr>
            <w:r>
              <w:rPr>
                <w:rFonts w:ascii="Calibri" w:hAnsi="Calibri" w:eastAsia="Calibri"/>
                <w:b/>
                <w:color w:val="FFFFFF"/>
                <w:sz w:val="16"/>
              </w:rPr>
              <w:t>Où il vit</w:t>
            </w:r>
          </w:p>
        </w:tc>
      </w:tr>
      <w:tr>
        <w:trPr>
          <w:cantSplit w:val="true"/>
        </w:trPr>
        <w:tc>
          <w:tcPr>
            <w:tcW w:type="dxa" w:w="510"/>
          </w:tcPr>
          <w:p>
            <w:pPr>
              <w:spacing w:after="0" w:line="245" w:lineRule="auto"/>
              <w:jc w:val="left"/>
            </w:pPr>
            <w:r>
              <w:rPr>
                <w:b/>
                <w:i w:val="0"/>
                <w:sz w:val="16"/>
              </w:rPr>
              <w:t>A1</w:t>
            </w:r>
          </w:p>
        </w:tc>
        <w:tc>
          <w:tcPr>
            <w:tcW w:type="dxa" w:w="2721"/>
          </w:tcPr>
          <w:p>
            <w:pPr>
              <w:spacing w:after="0" w:line="245" w:lineRule="auto"/>
              <w:jc w:val="left"/>
            </w:pPr>
            <w:r>
              <w:rPr>
                <w:b w:val="0"/>
                <w:i w:val="0"/>
                <w:sz w:val="16"/>
              </w:rPr>
              <w:t>Bulletins Secret (attribution, opération CANARI)</w:t>
            </w:r>
          </w:p>
        </w:tc>
        <w:tc>
          <w:tcPr>
            <w:tcW w:type="dxa" w:w="1928"/>
          </w:tcPr>
          <w:p>
            <w:pPr>
              <w:spacing w:after="0" w:line="245" w:lineRule="auto"/>
              <w:jc w:val="left"/>
            </w:pPr>
            <w:r>
              <w:rPr>
                <w:b w:val="0"/>
                <w:i w:val="0"/>
                <w:sz w:val="16"/>
              </w:rPr>
              <w:t>Secret · TLP:RED</w:t>
            </w:r>
          </w:p>
        </w:tc>
        <w:tc>
          <w:tcPr>
            <w:tcW w:type="dxa" w:w="2381"/>
          </w:tcPr>
          <w:p>
            <w:pPr>
              <w:spacing w:after="0" w:line="245" w:lineRule="auto"/>
              <w:jc w:val="left"/>
            </w:pPr>
            <w:r>
              <w:rPr>
                <w:b w:val="0"/>
                <w:i w:val="0"/>
                <w:sz w:val="16"/>
              </w:rPr>
              <w:t>Une divulgation peut brûler une source et un leurre.</w:t>
            </w:r>
          </w:p>
        </w:tc>
        <w:tc>
          <w:tcPr>
            <w:tcW w:type="dxa" w:w="1871"/>
          </w:tcPr>
          <w:p>
            <w:pPr>
              <w:spacing w:after="0" w:line="245" w:lineRule="auto"/>
              <w:jc w:val="left"/>
            </w:pPr>
            <w:r>
              <w:rPr>
                <w:b w:val="0"/>
                <w:i w:val="0"/>
                <w:sz w:val="16"/>
              </w:rPr>
              <w:t>SQLite, réponse filtrée</w:t>
            </w:r>
          </w:p>
        </w:tc>
      </w:tr>
      <w:tr>
        <w:trPr>
          <w:cantSplit w:val="true"/>
        </w:trPr>
        <w:tc>
          <w:tcPr>
            <w:tcW w:type="dxa" w:w="510"/>
            <w:shd w:val="clear" w:color="auto" w:fill="F3F6FA"/>
          </w:tcPr>
          <w:p>
            <w:pPr>
              <w:spacing w:after="0" w:line="245" w:lineRule="auto"/>
              <w:jc w:val="left"/>
            </w:pPr>
            <w:r>
              <w:rPr>
                <w:b/>
                <w:i w:val="0"/>
                <w:sz w:val="16"/>
              </w:rPr>
              <w:t>A2</w:t>
            </w:r>
          </w:p>
        </w:tc>
        <w:tc>
          <w:tcPr>
            <w:tcW w:type="dxa" w:w="2721"/>
            <w:shd w:val="clear" w:color="auto" w:fill="F3F6FA"/>
          </w:tcPr>
          <w:p>
            <w:pPr>
              <w:spacing w:after="0" w:line="245" w:lineRule="auto"/>
              <w:jc w:val="left"/>
            </w:pPr>
            <w:r>
              <w:rPr>
                <w:b w:val="0"/>
                <w:i w:val="0"/>
                <w:sz w:val="16"/>
              </w:rPr>
              <w:t>Identité des sources humaines</w:t>
            </w:r>
          </w:p>
        </w:tc>
        <w:tc>
          <w:tcPr>
            <w:tcW w:type="dxa" w:w="1928"/>
            <w:shd w:val="clear" w:color="auto" w:fill="F3F6FA"/>
          </w:tcPr>
          <w:p>
            <w:pPr>
              <w:spacing w:after="0" w:line="245" w:lineRule="auto"/>
              <w:jc w:val="left"/>
            </w:pPr>
            <w:r>
              <w:rPr>
                <w:b w:val="0"/>
                <w:i w:val="0"/>
                <w:sz w:val="16"/>
              </w:rPr>
              <w:t>Secret · TLP:RED</w:t>
            </w:r>
          </w:p>
        </w:tc>
        <w:tc>
          <w:tcPr>
            <w:tcW w:type="dxa" w:w="2381"/>
            <w:shd w:val="clear" w:color="auto" w:fill="F3F6FA"/>
          </w:tcPr>
          <w:p>
            <w:pPr>
              <w:spacing w:after="0" w:line="245" w:lineRule="auto"/>
              <w:jc w:val="left"/>
            </w:pPr>
            <w:r>
              <w:rPr>
                <w:b w:val="0"/>
                <w:i w:val="0"/>
                <w:sz w:val="16"/>
              </w:rPr>
              <w:t xml:space="preserve">Le champ </w:t>
            </w:r>
            <w:r>
              <w:rPr>
                <w:rFonts w:ascii="Consolas" w:hAnsi="Consolas" w:eastAsia="Consolas"/>
                <w:b w:val="0"/>
                <w:i w:val="0"/>
                <w:color w:val="1F2A3A"/>
                <w:sz w:val="15"/>
              </w:rPr>
              <w:t>source_identity</w:t>
            </w:r>
            <w:r>
              <w:rPr>
                <w:b w:val="0"/>
                <w:i w:val="0"/>
                <w:sz w:val="16"/>
              </w:rPr>
              <w:t xml:space="preserve"> relie une information à une personne.</w:t>
            </w:r>
          </w:p>
        </w:tc>
        <w:tc>
          <w:tcPr>
            <w:tcW w:type="dxa" w:w="1871"/>
            <w:shd w:val="clear" w:color="auto" w:fill="F3F6FA"/>
          </w:tcPr>
          <w:p>
            <w:pPr>
              <w:spacing w:after="0" w:line="245" w:lineRule="auto"/>
              <w:jc w:val="left"/>
            </w:pPr>
            <w:r>
              <w:rPr>
                <w:b w:val="0"/>
                <w:i w:val="0"/>
                <w:sz w:val="16"/>
              </w:rPr>
              <w:t>Champ de bulletin, masqué</w:t>
            </w:r>
          </w:p>
        </w:tc>
      </w:tr>
      <w:tr>
        <w:trPr>
          <w:cantSplit w:val="true"/>
        </w:trPr>
        <w:tc>
          <w:tcPr>
            <w:tcW w:type="dxa" w:w="510"/>
          </w:tcPr>
          <w:p>
            <w:pPr>
              <w:spacing w:after="0" w:line="245" w:lineRule="auto"/>
              <w:jc w:val="left"/>
            </w:pPr>
            <w:r>
              <w:rPr>
                <w:b/>
                <w:i w:val="0"/>
                <w:sz w:val="16"/>
              </w:rPr>
              <w:t>A3</w:t>
            </w:r>
          </w:p>
        </w:tc>
        <w:tc>
          <w:tcPr>
            <w:tcW w:type="dxa" w:w="2721"/>
          </w:tcPr>
          <w:p>
            <w:pPr>
              <w:spacing w:after="0" w:line="245" w:lineRule="auto"/>
              <w:jc w:val="left"/>
            </w:pPr>
            <w:r>
              <w:rPr>
                <w:b w:val="0"/>
                <w:i w:val="0"/>
                <w:sz w:val="16"/>
              </w:rPr>
              <w:t>Bulletins Confidentiels (vulnérabilités non corrigées)</w:t>
            </w:r>
          </w:p>
        </w:tc>
        <w:tc>
          <w:tcPr>
            <w:tcW w:type="dxa" w:w="1928"/>
          </w:tcPr>
          <w:p>
            <w:pPr>
              <w:spacing w:after="0" w:line="245" w:lineRule="auto"/>
              <w:jc w:val="left"/>
            </w:pPr>
            <w:r>
              <w:rPr>
                <w:b w:val="0"/>
                <w:i w:val="0"/>
                <w:sz w:val="16"/>
              </w:rPr>
              <w:t>Confidentiel · TLP:AMBER</w:t>
            </w:r>
          </w:p>
        </w:tc>
        <w:tc>
          <w:tcPr>
            <w:tcW w:type="dxa" w:w="2381"/>
          </w:tcPr>
          <w:p>
            <w:pPr>
              <w:spacing w:after="0" w:line="245" w:lineRule="auto"/>
              <w:jc w:val="left"/>
            </w:pPr>
            <w:r>
              <w:rPr>
                <w:b w:val="0"/>
                <w:i w:val="0"/>
                <w:sz w:val="16"/>
              </w:rPr>
              <w:t>Une lecture anticipée donne un avantage à l'attaquant.</w:t>
            </w:r>
          </w:p>
        </w:tc>
        <w:tc>
          <w:tcPr>
            <w:tcW w:type="dxa" w:w="1871"/>
          </w:tcPr>
          <w:p>
            <w:pPr>
              <w:spacing w:after="0" w:line="245" w:lineRule="auto"/>
              <w:jc w:val="left"/>
            </w:pPr>
            <w:r>
              <w:rPr>
                <w:b w:val="0"/>
                <w:i w:val="0"/>
                <w:sz w:val="16"/>
              </w:rPr>
              <w:t>SQLite</w:t>
            </w:r>
          </w:p>
        </w:tc>
      </w:tr>
      <w:tr>
        <w:trPr>
          <w:cantSplit w:val="true"/>
        </w:trPr>
        <w:tc>
          <w:tcPr>
            <w:tcW w:type="dxa" w:w="510"/>
            <w:shd w:val="clear" w:color="auto" w:fill="F3F6FA"/>
          </w:tcPr>
          <w:p>
            <w:pPr>
              <w:spacing w:after="0" w:line="245" w:lineRule="auto"/>
              <w:jc w:val="left"/>
            </w:pPr>
            <w:r>
              <w:rPr>
                <w:b/>
                <w:i w:val="0"/>
                <w:sz w:val="16"/>
              </w:rPr>
              <w:t>A4</w:t>
            </w:r>
          </w:p>
        </w:tc>
        <w:tc>
          <w:tcPr>
            <w:tcW w:type="dxa" w:w="2721"/>
            <w:shd w:val="clear" w:color="auto" w:fill="F3F6FA"/>
          </w:tcPr>
          <w:p>
            <w:pPr>
              <w:spacing w:after="0" w:line="245" w:lineRule="auto"/>
              <w:jc w:val="left"/>
            </w:pPr>
            <w:r>
              <w:rPr>
                <w:b w:val="0"/>
                <w:i w:val="0"/>
                <w:sz w:val="16"/>
              </w:rPr>
              <w:t>Indicateurs et familles de malware</w:t>
            </w:r>
          </w:p>
        </w:tc>
        <w:tc>
          <w:tcPr>
            <w:tcW w:type="dxa" w:w="1928"/>
            <w:shd w:val="clear" w:color="auto" w:fill="F3F6FA"/>
          </w:tcPr>
          <w:p>
            <w:pPr>
              <w:spacing w:after="0" w:line="245" w:lineRule="auto"/>
              <w:jc w:val="left"/>
            </w:pPr>
            <w:r>
              <w:rPr>
                <w:b w:val="0"/>
                <w:i w:val="0"/>
                <w:sz w:val="16"/>
              </w:rPr>
              <w:t>Interne · TLP:GREEN</w:t>
            </w:r>
          </w:p>
        </w:tc>
        <w:tc>
          <w:tcPr>
            <w:tcW w:type="dxa" w:w="2381"/>
            <w:shd w:val="clear" w:color="auto" w:fill="F3F6FA"/>
          </w:tcPr>
          <w:p>
            <w:pPr>
              <w:spacing w:after="0" w:line="245" w:lineRule="auto"/>
              <w:jc w:val="left"/>
            </w:pPr>
            <w:r>
              <w:rPr>
                <w:b w:val="0"/>
                <w:i w:val="0"/>
                <w:sz w:val="16"/>
              </w:rPr>
              <w:t>Utile au SOC, sensible hors du cercle.</w:t>
            </w:r>
          </w:p>
        </w:tc>
        <w:tc>
          <w:tcPr>
            <w:tcW w:type="dxa" w:w="1871"/>
            <w:shd w:val="clear" w:color="auto" w:fill="F3F6FA"/>
          </w:tcPr>
          <w:p>
            <w:pPr>
              <w:spacing w:after="0" w:line="245" w:lineRule="auto"/>
              <w:jc w:val="left"/>
            </w:pPr>
            <w:r>
              <w:rPr>
                <w:b w:val="0"/>
                <w:i w:val="0"/>
                <w:sz w:val="16"/>
              </w:rPr>
              <w:t>SQLite</w:t>
            </w:r>
          </w:p>
        </w:tc>
      </w:tr>
      <w:tr>
        <w:trPr>
          <w:cantSplit w:val="true"/>
        </w:trPr>
        <w:tc>
          <w:tcPr>
            <w:tcW w:type="dxa" w:w="510"/>
          </w:tcPr>
          <w:p>
            <w:pPr>
              <w:spacing w:after="0" w:line="245" w:lineRule="auto"/>
              <w:jc w:val="left"/>
            </w:pPr>
            <w:r>
              <w:rPr>
                <w:b/>
                <w:i w:val="0"/>
                <w:sz w:val="16"/>
              </w:rPr>
              <w:t>A5</w:t>
            </w:r>
          </w:p>
        </w:tc>
        <w:tc>
          <w:tcPr>
            <w:tcW w:type="dxa" w:w="2721"/>
          </w:tcPr>
          <w:p>
            <w:pPr>
              <w:spacing w:after="0" w:line="245" w:lineRule="auto"/>
              <w:jc w:val="left"/>
            </w:pPr>
            <w:r>
              <w:rPr>
                <w:b w:val="0"/>
                <w:i w:val="0"/>
                <w:sz w:val="16"/>
              </w:rPr>
              <w:t>Actifs, criticité et exposition</w:t>
            </w:r>
          </w:p>
        </w:tc>
        <w:tc>
          <w:tcPr>
            <w:tcW w:type="dxa" w:w="1928"/>
          </w:tcPr>
          <w:p>
            <w:pPr>
              <w:spacing w:after="0" w:line="245" w:lineRule="auto"/>
              <w:jc w:val="left"/>
            </w:pPr>
            <w:r>
              <w:rPr>
                <w:b w:val="0"/>
                <w:i w:val="0"/>
                <w:sz w:val="16"/>
              </w:rPr>
              <w:t>Confidentiel · TLP:AMBER</w:t>
            </w:r>
          </w:p>
        </w:tc>
        <w:tc>
          <w:tcPr>
            <w:tcW w:type="dxa" w:w="2381"/>
          </w:tcPr>
          <w:p>
            <w:pPr>
              <w:spacing w:after="0" w:line="245" w:lineRule="auto"/>
              <w:jc w:val="left"/>
            </w:pPr>
            <w:r>
              <w:rPr>
                <w:b w:val="0"/>
                <w:i w:val="0"/>
                <w:sz w:val="16"/>
              </w:rPr>
              <w:t>La carte des actifs critiques est une cible.</w:t>
            </w:r>
          </w:p>
        </w:tc>
        <w:tc>
          <w:tcPr>
            <w:tcW w:type="dxa" w:w="1871"/>
          </w:tcPr>
          <w:p>
            <w:pPr>
              <w:spacing w:after="0" w:line="245" w:lineRule="auto"/>
              <w:jc w:val="left"/>
            </w:pPr>
            <w:r>
              <w:rPr>
                <w:b w:val="0"/>
                <w:i w:val="0"/>
                <w:sz w:val="16"/>
              </w:rPr>
              <w:t>SQLite</w:t>
            </w:r>
          </w:p>
        </w:tc>
      </w:tr>
      <w:tr>
        <w:trPr>
          <w:cantSplit w:val="true"/>
        </w:trPr>
        <w:tc>
          <w:tcPr>
            <w:tcW w:type="dxa" w:w="510"/>
            <w:shd w:val="clear" w:color="auto" w:fill="F3F6FA"/>
          </w:tcPr>
          <w:p>
            <w:pPr>
              <w:spacing w:after="0" w:line="245" w:lineRule="auto"/>
              <w:jc w:val="left"/>
            </w:pPr>
            <w:r>
              <w:rPr>
                <w:b/>
                <w:i w:val="0"/>
                <w:sz w:val="16"/>
              </w:rPr>
              <w:t>A6</w:t>
            </w:r>
          </w:p>
        </w:tc>
        <w:tc>
          <w:tcPr>
            <w:tcW w:type="dxa" w:w="2721"/>
            <w:shd w:val="clear" w:color="auto" w:fill="F3F6FA"/>
          </w:tcPr>
          <w:p>
            <w:pPr>
              <w:spacing w:after="0" w:line="245" w:lineRule="auto"/>
              <w:jc w:val="left"/>
            </w:pPr>
            <w:r>
              <w:rPr>
                <w:b w:val="0"/>
                <w:i w:val="0"/>
                <w:sz w:val="16"/>
              </w:rPr>
              <w:t>Clé de signature des jetons</w:t>
            </w:r>
          </w:p>
        </w:tc>
        <w:tc>
          <w:tcPr>
            <w:tcW w:type="dxa" w:w="1928"/>
            <w:shd w:val="clear" w:color="auto" w:fill="F3F6FA"/>
          </w:tcPr>
          <w:p>
            <w:pPr>
              <w:spacing w:after="0" w:line="245" w:lineRule="auto"/>
              <w:jc w:val="left"/>
            </w:pPr>
            <w:r>
              <w:rPr>
                <w:b w:val="0"/>
                <w:i w:val="0"/>
                <w:sz w:val="16"/>
              </w:rPr>
              <w:t>Secret opérationnel</w:t>
            </w:r>
          </w:p>
        </w:tc>
        <w:tc>
          <w:tcPr>
            <w:tcW w:type="dxa" w:w="2381"/>
            <w:shd w:val="clear" w:color="auto" w:fill="F3F6FA"/>
          </w:tcPr>
          <w:p>
            <w:pPr>
              <w:spacing w:after="0" w:line="245" w:lineRule="auto"/>
              <w:jc w:val="left"/>
            </w:pPr>
            <w:r>
              <w:rPr>
                <w:b w:val="0"/>
                <w:i w:val="0"/>
                <w:sz w:val="16"/>
              </w:rPr>
              <w:t>Sa compromission permet de forger des capacités.</w:t>
            </w:r>
          </w:p>
        </w:tc>
        <w:tc>
          <w:tcPr>
            <w:tcW w:type="dxa" w:w="1871"/>
            <w:shd w:val="clear" w:color="auto" w:fill="F3F6FA"/>
          </w:tcPr>
          <w:p>
            <w:pPr>
              <w:spacing w:after="0" w:line="245" w:lineRule="auto"/>
              <w:jc w:val="left"/>
            </w:pPr>
            <w:r>
              <w:rPr>
                <w:b w:val="0"/>
                <w:i w:val="0"/>
                <w:sz w:val="16"/>
              </w:rPr>
              <w:t>Fichier 0400, hors base</w:t>
            </w:r>
          </w:p>
        </w:tc>
      </w:tr>
      <w:tr>
        <w:trPr>
          <w:cantSplit w:val="true"/>
        </w:trPr>
        <w:tc>
          <w:tcPr>
            <w:tcW w:type="dxa" w:w="510"/>
          </w:tcPr>
          <w:p>
            <w:pPr>
              <w:spacing w:after="0" w:line="245" w:lineRule="auto"/>
              <w:jc w:val="left"/>
            </w:pPr>
            <w:r>
              <w:rPr>
                <w:b/>
                <w:i w:val="0"/>
                <w:sz w:val="16"/>
              </w:rPr>
              <w:t>A7</w:t>
            </w:r>
          </w:p>
        </w:tc>
        <w:tc>
          <w:tcPr>
            <w:tcW w:type="dxa" w:w="2721"/>
          </w:tcPr>
          <w:p>
            <w:pPr>
              <w:spacing w:after="0" w:line="245" w:lineRule="auto"/>
              <w:jc w:val="left"/>
            </w:pPr>
            <w:r>
              <w:rPr>
                <w:b w:val="0"/>
                <w:i w:val="0"/>
                <w:sz w:val="16"/>
              </w:rPr>
              <w:t>Journal d'audit</w:t>
            </w:r>
          </w:p>
        </w:tc>
        <w:tc>
          <w:tcPr>
            <w:tcW w:type="dxa" w:w="1928"/>
          </w:tcPr>
          <w:p>
            <w:pPr>
              <w:spacing w:after="0" w:line="245" w:lineRule="auto"/>
              <w:jc w:val="left"/>
            </w:pPr>
            <w:r>
              <w:rPr>
                <w:b w:val="0"/>
                <w:i w:val="0"/>
                <w:sz w:val="16"/>
              </w:rPr>
              <w:t>Confidentiel · intégrité critique</w:t>
            </w:r>
          </w:p>
        </w:tc>
        <w:tc>
          <w:tcPr>
            <w:tcW w:type="dxa" w:w="2381"/>
          </w:tcPr>
          <w:p>
            <w:pPr>
              <w:spacing w:after="0" w:line="245" w:lineRule="auto"/>
              <w:jc w:val="left"/>
            </w:pPr>
            <w:r>
              <w:rPr>
                <w:b w:val="0"/>
                <w:i w:val="0"/>
                <w:sz w:val="16"/>
              </w:rPr>
              <w:t>Il prouve les décisions ; le modifier efface la responsabilité.</w:t>
            </w:r>
          </w:p>
        </w:tc>
        <w:tc>
          <w:tcPr>
            <w:tcW w:type="dxa" w:w="1871"/>
          </w:tcPr>
          <w:p>
            <w:pPr>
              <w:spacing w:after="0" w:line="245" w:lineRule="auto"/>
              <w:jc w:val="left"/>
            </w:pPr>
            <w:r>
              <w:rPr>
                <w:b w:val="0"/>
                <w:i w:val="0"/>
                <w:sz w:val="16"/>
              </w:rPr>
              <w:t>JSONL append-only</w:t>
            </w:r>
          </w:p>
        </w:tc>
      </w:tr>
      <w:tr>
        <w:trPr>
          <w:cantSplit w:val="true"/>
        </w:trPr>
        <w:tc>
          <w:tcPr>
            <w:tcW w:type="dxa" w:w="510"/>
            <w:shd w:val="clear" w:color="auto" w:fill="F3F6FA"/>
          </w:tcPr>
          <w:p>
            <w:pPr>
              <w:spacing w:after="0" w:line="245" w:lineRule="auto"/>
              <w:jc w:val="left"/>
            </w:pPr>
            <w:r>
              <w:rPr>
                <w:b/>
                <w:i w:val="0"/>
                <w:sz w:val="16"/>
              </w:rPr>
              <w:t>A8</w:t>
            </w:r>
          </w:p>
        </w:tc>
        <w:tc>
          <w:tcPr>
            <w:tcW w:type="dxa" w:w="2721"/>
            <w:shd w:val="clear" w:color="auto" w:fill="F3F6FA"/>
          </w:tcPr>
          <w:p>
            <w:pPr>
              <w:spacing w:after="0" w:line="245" w:lineRule="auto"/>
              <w:jc w:val="left"/>
            </w:pPr>
            <w:r>
              <w:rPr>
                <w:b w:val="0"/>
                <w:i w:val="0"/>
                <w:sz w:val="16"/>
              </w:rPr>
              <w:t>Métadonnées de santé</w:t>
            </w:r>
          </w:p>
        </w:tc>
        <w:tc>
          <w:tcPr>
            <w:tcW w:type="dxa" w:w="1928"/>
            <w:shd w:val="clear" w:color="auto" w:fill="F3F6FA"/>
          </w:tcPr>
          <w:p>
            <w:pPr>
              <w:spacing w:after="0" w:line="245" w:lineRule="auto"/>
              <w:jc w:val="left"/>
            </w:pPr>
            <w:r>
              <w:rPr>
                <w:b w:val="0"/>
                <w:i w:val="0"/>
                <w:sz w:val="16"/>
              </w:rPr>
              <w:t>Public à Interne</w:t>
            </w:r>
          </w:p>
        </w:tc>
        <w:tc>
          <w:tcPr>
            <w:tcW w:type="dxa" w:w="2381"/>
            <w:shd w:val="clear" w:color="auto" w:fill="F3F6FA"/>
          </w:tcPr>
          <w:p>
            <w:pPr>
              <w:spacing w:after="0" w:line="245" w:lineRule="auto"/>
              <w:jc w:val="left"/>
            </w:pPr>
            <w:r>
              <w:rPr>
                <w:b w:val="0"/>
                <w:i w:val="0"/>
                <w:sz w:val="16"/>
              </w:rPr>
              <w:t>Utile à l'exploitation, ne doit pas révéler les volumes Secret.</w:t>
            </w:r>
          </w:p>
        </w:tc>
        <w:tc>
          <w:tcPr>
            <w:tcW w:type="dxa" w:w="1871"/>
            <w:shd w:val="clear" w:color="auto" w:fill="F3F6FA"/>
          </w:tcPr>
          <w:p>
            <w:pPr>
              <w:spacing w:after="0" w:line="245" w:lineRule="auto"/>
              <w:jc w:val="left"/>
            </w:pPr>
            <w:r>
              <w:rPr>
                <w:b w:val="0"/>
                <w:i w:val="0"/>
                <w:sz w:val="16"/>
              </w:rPr>
              <w:t xml:space="preserve">Réponse </w:t>
            </w:r>
            <w:r>
              <w:rPr>
                <w:rFonts w:ascii="Consolas" w:hAnsi="Consolas" w:eastAsia="Consolas"/>
                <w:b w:val="0"/>
                <w:i w:val="0"/>
                <w:color w:val="1F2A3A"/>
                <w:sz w:val="15"/>
              </w:rPr>
              <w:t>ti_health</w:t>
            </w:r>
          </w:p>
        </w:tc>
      </w:tr>
    </w:tbl>
    <w:p>
      <w:pPr>
        <w:pStyle w:val="Source"/>
      </w:pPr>
      <w:r>
        <w:rPr>
          <w:rFonts w:ascii="Calibri" w:hAnsi="Calibri" w:eastAsia="Calibri"/>
          <w:i/>
          <w:color w:val="5B6577"/>
          <w:sz w:val="16"/>
        </w:rPr>
        <w:t>Source : jeu de données synthétique du laboratoire ; les canaris sont des chaînes de contrôle.</w:t>
      </w:r>
    </w:p>
    <w:p>
      <w:pPr>
        <w:pStyle w:val="Heading2"/>
      </w:pPr>
      <w:r>
        <w:rPr>
          <w:rFonts w:ascii="Calibri" w:hAnsi="Calibri" w:eastAsia="Calibri"/>
          <w:b/>
          <w:color w:val="2F6DB3"/>
          <w:sz w:val="28"/>
        </w:rPr>
        <w:t>2.2 Acteurs et surfaces d'attaque</w:t>
      </w:r>
    </w:p>
    <w:p>
      <w:pPr>
        <w:keepNext w:val="0"/>
      </w:pPr>
      <w:r>
        <w:rPr>
          <w:b w:val="0"/>
          <w:i w:val="0"/>
        </w:rPr>
        <w:t xml:space="preserve">Nous distinguons les acteurs légitimes, dont les droits varient, des acteurs hostiles ou ambigus. L'analyste SOC (habilitation 1–2) cherche et enrichit ; le lead CTI (niveau 3 et compartiments) lit les bulletins Secret de son périmètre ; le lecteur ou auditeur consulte un périmètre restreint. L'agent LLM occupe une place à part : il est légitime, mais </w:t>
      </w:r>
      <w:r>
        <w:rPr>
          <w:b/>
          <w:i w:val="0"/>
        </w:rPr>
        <w:t>manipulable</w:t>
      </w:r>
      <w:r>
        <w:rPr>
          <w:b w:val="0"/>
          <w:i w:val="0"/>
        </w:rPr>
        <w:t>. Il peut recevoir une instruction cachée dans un bulletin partenaire et la transformer en appel d'outil — c'est la délégation confuse. Le partenaire fournit des bulletins et peut empoisonner la base ; l'attaquant vole un jeton, forge une signature ou sature le service ; un poste non conforme (BYOD) compromet le point d'accès au secret. C'est pourquoi le serveur ne fait jamais confiance au contenu qu'il renvoie : il l'enveloppe comme une donnée non exécutable.</w:t>
      </w:r>
    </w:p>
    <w:p>
      <w:pPr>
        <w:keepNext w:val="0"/>
      </w:pPr>
      <w:r>
        <w:rPr>
          <w:b w:val="0"/>
          <w:i w:val="0"/>
        </w:rPr>
        <w:t>Les surfaces d'attaque sont peu nombreuses, ce qui est un avantage : le serveur n'écoute aucun port, ne sort pas sur le réseau et n'expose que six outils. Les surfaces retenues sont le canal stdio, les paramètres d'outil, les URI de ressources, le contenu importé, le fichier de jeton, la base, la clé, le journal et l'attestation de posture. Chacune est rattachée à un point de contrôle dans l'architecture (chapitre 4).</w:t>
      </w:r>
    </w:p>
    <w:p>
      <w:pPr>
        <w:pStyle w:val="Heading2"/>
      </w:pPr>
      <w:r>
        <w:rPr>
          <w:rFonts w:ascii="Calibri" w:hAnsi="Calibri" w:eastAsia="Calibri"/>
          <w:b/>
          <w:color w:val="2F6DB3"/>
          <w:sz w:val="28"/>
        </w:rPr>
        <w:t>2.3 Risques classés par probabilité et impact</w:t>
      </w:r>
    </w:p>
    <w:p>
      <w:pPr>
        <w:keepNext w:val="0"/>
      </w:pPr>
      <w:r>
        <w:rPr>
          <w:b w:val="0"/>
          <w:i w:val="0"/>
        </w:rPr>
        <w:t>Nous avons retenu dix risques, notés de 1 à 5 sur deux axes. Le score brut P × I sert au premier classement ; quand deux risques sont à égalité, l'impact tranche avant la probabilité, car une perte de source est moins réversible qu'une tentative répétée sans conséquence. Le classement est donné ci-dessous.</w:t>
      </w:r>
    </w:p>
    <w:p>
      <w:pPr>
        <w:pStyle w:val="Légende"/>
        <w:keepNext/>
      </w:pPr>
      <w:r>
        <w:rPr>
          <w:rFonts w:ascii="Calibri" w:hAnsi="Calibri" w:eastAsia="Calibri"/>
          <w:i/>
          <w:color w:val="5B6577"/>
          <w:sz w:val="18"/>
        </w:rPr>
        <w:t xml:space="preserve">Tableau </w:t>
      </w:r>
      <w:r>
        <w:fldChar w:fldCharType="begin"/>
      </w:r>
      <w:r>
        <w:instrText xml:space="preserve"> SEQ Tableau \* ARABIC </w:instrText>
      </w:r>
      <w:r>
        <w:fldChar w:fldCharType="separate"/>
      </w:r>
      <w:r>
        <w:rPr>
          <w:color w:val="5B6577"/>
          <w:sz w:val="18"/>
        </w:rPr>
        <w:t>4</w:t>
      </w:r>
      <w:r>
        <w:fldChar w:fldCharType="end"/>
      </w:r>
      <w:r>
        <w:rPr>
          <w:rFonts w:ascii="Calibri" w:hAnsi="Calibri" w:eastAsia="Calibri"/>
          <w:i/>
          <w:color w:val="5B6577"/>
          <w:sz w:val="18"/>
        </w:rPr>
        <w:t xml:space="preserve"> — Risques, scores et contrôles principaux</w:t>
      </w:r>
    </w:p>
    <w:tbl>
      <w:tblPr>
        <w:tblW w:type="auto" w:w="0"/>
        <w:jc w:val="center"/>
        <w:tblLayout w:type="fixed"/>
        <w:tblLook w:firstColumn="1" w:firstRow="1" w:lastColumn="0" w:lastRow="0" w:noHBand="0" w:noVBand="1" w:val="04A0"/>
        <w:tblCellMar>
          <w:top w:w="40" w:type="dxa"/>
          <w:left w:w="80" w:type="dxa"/>
          <w:bottom w:w="40" w:type="dxa"/>
          <w:right w:w="80" w:type="dxa"/>
        </w:tblCellMar>
      </w:tblPr>
      <w:tblGrid>
        <w:gridCol w:w="1377"/>
        <w:gridCol w:w="1377"/>
        <w:gridCol w:w="1377"/>
        <w:gridCol w:w="1377"/>
        <w:gridCol w:w="1377"/>
        <w:gridCol w:w="1377"/>
        <w:gridCol w:w="1377"/>
      </w:tblGrid>
      <w:tr>
        <w:trPr>
          <w:tblHeader w:val="true"/>
          <w:cantSplit w:val="true"/>
        </w:trPr>
        <w:tc>
          <w:tcPr>
            <w:tcW w:type="dxa" w:w="510"/>
            <w:shd w:val="clear" w:color="auto" w:fill="10243F"/>
          </w:tcPr>
          <w:p>
            <w:pPr>
              <w:spacing w:after="0"/>
              <w:jc w:val="center"/>
            </w:pPr>
            <w:r>
              <w:rPr>
                <w:rFonts w:ascii="Calibri" w:hAnsi="Calibri" w:eastAsia="Calibri"/>
                <w:b/>
                <w:color w:val="FFFFFF"/>
                <w:sz w:val="16"/>
              </w:rPr>
              <w:t>ID</w:t>
            </w:r>
          </w:p>
        </w:tc>
        <w:tc>
          <w:tcPr>
            <w:tcW w:type="dxa" w:w="3402"/>
            <w:shd w:val="clear" w:color="auto" w:fill="10243F"/>
          </w:tcPr>
          <w:p>
            <w:pPr>
              <w:spacing w:after="0"/>
              <w:jc w:val="center"/>
            </w:pPr>
            <w:r>
              <w:rPr>
                <w:rFonts w:ascii="Calibri" w:hAnsi="Calibri" w:eastAsia="Calibri"/>
                <w:b/>
                <w:color w:val="FFFFFF"/>
                <w:sz w:val="16"/>
              </w:rPr>
              <w:t>Risque</w:t>
            </w:r>
          </w:p>
        </w:tc>
        <w:tc>
          <w:tcPr>
            <w:tcW w:type="dxa" w:w="397"/>
            <w:shd w:val="clear" w:color="auto" w:fill="10243F"/>
          </w:tcPr>
          <w:p>
            <w:pPr>
              <w:spacing w:after="0"/>
              <w:jc w:val="center"/>
            </w:pPr>
            <w:r>
              <w:rPr>
                <w:rFonts w:ascii="Calibri" w:hAnsi="Calibri" w:eastAsia="Calibri"/>
                <w:b/>
                <w:color w:val="FFFFFF"/>
                <w:sz w:val="16"/>
              </w:rPr>
              <w:t>P</w:t>
            </w:r>
          </w:p>
        </w:tc>
        <w:tc>
          <w:tcPr>
            <w:tcW w:type="dxa" w:w="397"/>
            <w:shd w:val="clear" w:color="auto" w:fill="10243F"/>
          </w:tcPr>
          <w:p>
            <w:pPr>
              <w:spacing w:after="0"/>
              <w:jc w:val="center"/>
            </w:pPr>
            <w:r>
              <w:rPr>
                <w:rFonts w:ascii="Calibri" w:hAnsi="Calibri" w:eastAsia="Calibri"/>
                <w:b/>
                <w:color w:val="FFFFFF"/>
                <w:sz w:val="16"/>
              </w:rPr>
              <w:t>I</w:t>
            </w:r>
          </w:p>
        </w:tc>
        <w:tc>
          <w:tcPr>
            <w:tcW w:type="dxa" w:w="510"/>
            <w:shd w:val="clear" w:color="auto" w:fill="10243F"/>
          </w:tcPr>
          <w:p>
            <w:pPr>
              <w:spacing w:after="0"/>
              <w:jc w:val="center"/>
            </w:pPr>
            <w:r>
              <w:rPr>
                <w:rFonts w:ascii="Calibri" w:hAnsi="Calibri" w:eastAsia="Calibri"/>
                <w:b/>
                <w:color w:val="FFFFFF"/>
                <w:sz w:val="16"/>
              </w:rPr>
              <w:t>Score</w:t>
            </w:r>
          </w:p>
        </w:tc>
        <w:tc>
          <w:tcPr>
            <w:tcW w:type="dxa" w:w="3061"/>
            <w:shd w:val="clear" w:color="auto" w:fill="10243F"/>
          </w:tcPr>
          <w:p>
            <w:pPr>
              <w:spacing w:after="0"/>
              <w:jc w:val="center"/>
            </w:pPr>
            <w:r>
              <w:rPr>
                <w:rFonts w:ascii="Calibri" w:hAnsi="Calibri" w:eastAsia="Calibri"/>
                <w:b/>
                <w:color w:val="FFFFFF"/>
                <w:sz w:val="16"/>
              </w:rPr>
              <w:t>Contrôle principal</w:t>
            </w:r>
          </w:p>
        </w:tc>
        <w:tc>
          <w:tcPr>
            <w:tcW w:type="dxa" w:w="1361"/>
            <w:shd w:val="clear" w:color="auto" w:fill="10243F"/>
          </w:tcPr>
          <w:p>
            <w:pPr>
              <w:spacing w:after="0"/>
              <w:jc w:val="center"/>
            </w:pPr>
            <w:r>
              <w:rPr>
                <w:rFonts w:ascii="Calibri" w:hAnsi="Calibri" w:eastAsia="Calibri"/>
                <w:b/>
                <w:color w:val="FFFFFF"/>
                <w:sz w:val="16"/>
              </w:rPr>
              <w:t>Exigences</w:t>
            </w:r>
          </w:p>
        </w:tc>
      </w:tr>
      <w:tr>
        <w:trPr>
          <w:cantSplit w:val="true"/>
        </w:trPr>
        <w:tc>
          <w:tcPr>
            <w:tcW w:type="dxa" w:w="510"/>
          </w:tcPr>
          <w:p>
            <w:pPr>
              <w:spacing w:after="0" w:line="245" w:lineRule="auto"/>
              <w:jc w:val="center"/>
            </w:pPr>
            <w:r>
              <w:rPr>
                <w:b/>
                <w:i w:val="0"/>
                <w:sz w:val="16"/>
              </w:rPr>
              <w:t>R01</w:t>
            </w:r>
          </w:p>
        </w:tc>
        <w:tc>
          <w:tcPr>
            <w:tcW w:type="dxa" w:w="3402"/>
          </w:tcPr>
          <w:p>
            <w:pPr>
              <w:spacing w:after="0" w:line="245" w:lineRule="auto"/>
              <w:jc w:val="left"/>
            </w:pPr>
            <w:r>
              <w:rPr>
                <w:b w:val="0"/>
                <w:i w:val="0"/>
                <w:sz w:val="16"/>
              </w:rPr>
              <w:t>Fuite d'un bulletin Secret par une réponse trop riche.</w:t>
            </w:r>
          </w:p>
        </w:tc>
        <w:tc>
          <w:tcPr>
            <w:tcW w:type="dxa" w:w="397"/>
          </w:tcPr>
          <w:p>
            <w:pPr>
              <w:spacing w:after="0" w:line="245" w:lineRule="auto"/>
              <w:jc w:val="center"/>
            </w:pPr>
            <w:r>
              <w:rPr>
                <w:b w:val="0"/>
                <w:i w:val="0"/>
                <w:sz w:val="16"/>
              </w:rPr>
              <w:t>4</w:t>
            </w:r>
          </w:p>
        </w:tc>
        <w:tc>
          <w:tcPr>
            <w:tcW w:type="dxa" w:w="397"/>
          </w:tcPr>
          <w:p>
            <w:pPr>
              <w:spacing w:after="0" w:line="245" w:lineRule="auto"/>
              <w:jc w:val="center"/>
            </w:pPr>
            <w:r>
              <w:rPr>
                <w:b w:val="0"/>
                <w:i w:val="0"/>
                <w:sz w:val="16"/>
              </w:rPr>
              <w:t>5</w:t>
            </w:r>
          </w:p>
        </w:tc>
        <w:tc>
          <w:tcPr>
            <w:tcW w:type="dxa" w:w="510"/>
          </w:tcPr>
          <w:p>
            <w:pPr>
              <w:spacing w:after="0" w:line="245" w:lineRule="auto"/>
              <w:jc w:val="center"/>
            </w:pPr>
            <w:r>
              <w:rPr>
                <w:b w:val="0"/>
                <w:i w:val="0"/>
                <w:sz w:val="16"/>
              </w:rPr>
              <w:t>20</w:t>
            </w:r>
          </w:p>
        </w:tc>
        <w:tc>
          <w:tcPr>
            <w:tcW w:type="dxa" w:w="3061"/>
          </w:tcPr>
          <w:p>
            <w:pPr>
              <w:spacing w:after="0" w:line="245" w:lineRule="auto"/>
              <w:jc w:val="left"/>
            </w:pPr>
            <w:r>
              <w:rPr>
                <w:b w:val="0"/>
                <w:i w:val="0"/>
                <w:sz w:val="16"/>
              </w:rPr>
              <w:t>ABAC, étiquette de sortie, masquage, canari.</w:t>
            </w:r>
          </w:p>
        </w:tc>
        <w:tc>
          <w:tcPr>
            <w:tcW w:type="dxa" w:w="1361"/>
          </w:tcPr>
          <w:p>
            <w:pPr>
              <w:spacing w:after="0" w:line="245" w:lineRule="auto"/>
              <w:jc w:val="left"/>
            </w:pPr>
            <w:r>
              <w:rPr>
                <w:b w:val="0"/>
                <w:i w:val="0"/>
                <w:sz w:val="16"/>
              </w:rPr>
              <w:t>EF-03, EF-04</w:t>
            </w:r>
          </w:p>
        </w:tc>
      </w:tr>
      <w:tr>
        <w:trPr>
          <w:cantSplit w:val="true"/>
        </w:trPr>
        <w:tc>
          <w:tcPr>
            <w:tcW w:type="dxa" w:w="510"/>
            <w:shd w:val="clear" w:color="auto" w:fill="F3F6FA"/>
          </w:tcPr>
          <w:p>
            <w:pPr>
              <w:spacing w:after="0" w:line="245" w:lineRule="auto"/>
              <w:jc w:val="center"/>
            </w:pPr>
            <w:r>
              <w:rPr>
                <w:b/>
                <w:i w:val="0"/>
                <w:sz w:val="16"/>
              </w:rPr>
              <w:t>R02</w:t>
            </w:r>
          </w:p>
        </w:tc>
        <w:tc>
          <w:tcPr>
            <w:tcW w:type="dxa" w:w="3402"/>
            <w:shd w:val="clear" w:color="auto" w:fill="F3F6FA"/>
          </w:tcPr>
          <w:p>
            <w:pPr>
              <w:spacing w:after="0" w:line="245" w:lineRule="auto"/>
              <w:jc w:val="left"/>
            </w:pPr>
            <w:r>
              <w:rPr>
                <w:b w:val="0"/>
                <w:i w:val="0"/>
                <w:sz w:val="16"/>
              </w:rPr>
              <w:t>Injection de consignes dans un flux partenaire.</w:t>
            </w:r>
          </w:p>
        </w:tc>
        <w:tc>
          <w:tcPr>
            <w:tcW w:type="dxa" w:w="397"/>
            <w:shd w:val="clear" w:color="auto" w:fill="F3F6FA"/>
          </w:tcPr>
          <w:p>
            <w:pPr>
              <w:spacing w:after="0" w:line="245" w:lineRule="auto"/>
              <w:jc w:val="center"/>
            </w:pPr>
            <w:r>
              <w:rPr>
                <w:b w:val="0"/>
                <w:i w:val="0"/>
                <w:sz w:val="16"/>
              </w:rPr>
              <w:t>4</w:t>
            </w:r>
          </w:p>
        </w:tc>
        <w:tc>
          <w:tcPr>
            <w:tcW w:type="dxa" w:w="397"/>
            <w:shd w:val="clear" w:color="auto" w:fill="F3F6FA"/>
          </w:tcPr>
          <w:p>
            <w:pPr>
              <w:spacing w:after="0" w:line="245" w:lineRule="auto"/>
              <w:jc w:val="center"/>
            </w:pPr>
            <w:r>
              <w:rPr>
                <w:b w:val="0"/>
                <w:i w:val="0"/>
                <w:sz w:val="16"/>
              </w:rPr>
              <w:t>5</w:t>
            </w:r>
          </w:p>
        </w:tc>
        <w:tc>
          <w:tcPr>
            <w:tcW w:type="dxa" w:w="510"/>
            <w:shd w:val="clear" w:color="auto" w:fill="F3F6FA"/>
          </w:tcPr>
          <w:p>
            <w:pPr>
              <w:spacing w:after="0" w:line="245" w:lineRule="auto"/>
              <w:jc w:val="center"/>
            </w:pPr>
            <w:r>
              <w:rPr>
                <w:b w:val="0"/>
                <w:i w:val="0"/>
                <w:sz w:val="16"/>
              </w:rPr>
              <w:t>20</w:t>
            </w:r>
          </w:p>
        </w:tc>
        <w:tc>
          <w:tcPr>
            <w:tcW w:type="dxa" w:w="3061"/>
            <w:shd w:val="clear" w:color="auto" w:fill="F3F6FA"/>
          </w:tcPr>
          <w:p>
            <w:pPr>
              <w:spacing w:after="0" w:line="245" w:lineRule="auto"/>
              <w:jc w:val="left"/>
            </w:pPr>
            <w:r>
              <w:rPr>
                <w:b w:val="0"/>
                <w:i w:val="0"/>
                <w:sz w:val="16"/>
              </w:rPr>
              <w:t>Neutralisation, enveloppe non exécutable, fanions.</w:t>
            </w:r>
          </w:p>
        </w:tc>
        <w:tc>
          <w:tcPr>
            <w:tcW w:type="dxa" w:w="1361"/>
            <w:shd w:val="clear" w:color="auto" w:fill="F3F6FA"/>
          </w:tcPr>
          <w:p>
            <w:pPr>
              <w:spacing w:after="0" w:line="245" w:lineRule="auto"/>
              <w:jc w:val="left"/>
            </w:pPr>
            <w:r>
              <w:rPr>
                <w:b w:val="0"/>
                <w:i w:val="0"/>
                <w:sz w:val="16"/>
              </w:rPr>
              <w:t>EF-05, ENF-12</w:t>
            </w:r>
          </w:p>
        </w:tc>
      </w:tr>
      <w:tr>
        <w:trPr>
          <w:cantSplit w:val="true"/>
        </w:trPr>
        <w:tc>
          <w:tcPr>
            <w:tcW w:type="dxa" w:w="510"/>
          </w:tcPr>
          <w:p>
            <w:pPr>
              <w:spacing w:after="0" w:line="245" w:lineRule="auto"/>
              <w:jc w:val="center"/>
            </w:pPr>
            <w:r>
              <w:rPr>
                <w:b/>
                <w:i w:val="0"/>
                <w:sz w:val="16"/>
              </w:rPr>
              <w:t>R03</w:t>
            </w:r>
          </w:p>
        </w:tc>
        <w:tc>
          <w:tcPr>
            <w:tcW w:type="dxa" w:w="3402"/>
          </w:tcPr>
          <w:p>
            <w:pPr>
              <w:spacing w:after="0" w:line="245" w:lineRule="auto"/>
              <w:jc w:val="left"/>
            </w:pPr>
            <w:r>
              <w:rPr>
                <w:b w:val="0"/>
                <w:i w:val="0"/>
                <w:sz w:val="16"/>
              </w:rPr>
              <w:t>Jeton forgé, rejoué ou élevé en privilège.</w:t>
            </w:r>
          </w:p>
        </w:tc>
        <w:tc>
          <w:tcPr>
            <w:tcW w:type="dxa" w:w="397"/>
          </w:tcPr>
          <w:p>
            <w:pPr>
              <w:spacing w:after="0" w:line="245" w:lineRule="auto"/>
              <w:jc w:val="center"/>
            </w:pPr>
            <w:r>
              <w:rPr>
                <w:b w:val="0"/>
                <w:i w:val="0"/>
                <w:sz w:val="16"/>
              </w:rPr>
              <w:t>3</w:t>
            </w:r>
          </w:p>
        </w:tc>
        <w:tc>
          <w:tcPr>
            <w:tcW w:type="dxa" w:w="397"/>
          </w:tcPr>
          <w:p>
            <w:pPr>
              <w:spacing w:after="0" w:line="245" w:lineRule="auto"/>
              <w:jc w:val="center"/>
            </w:pPr>
            <w:r>
              <w:rPr>
                <w:b w:val="0"/>
                <w:i w:val="0"/>
                <w:sz w:val="16"/>
              </w:rPr>
              <w:t>5</w:t>
            </w:r>
          </w:p>
        </w:tc>
        <w:tc>
          <w:tcPr>
            <w:tcW w:type="dxa" w:w="510"/>
          </w:tcPr>
          <w:p>
            <w:pPr>
              <w:spacing w:after="0" w:line="245" w:lineRule="auto"/>
              <w:jc w:val="center"/>
            </w:pPr>
            <w:r>
              <w:rPr>
                <w:b w:val="0"/>
                <w:i w:val="0"/>
                <w:sz w:val="16"/>
              </w:rPr>
              <w:t>15</w:t>
            </w:r>
          </w:p>
        </w:tc>
        <w:tc>
          <w:tcPr>
            <w:tcW w:type="dxa" w:w="3061"/>
          </w:tcPr>
          <w:p>
            <w:pPr>
              <w:spacing w:after="0" w:line="245" w:lineRule="auto"/>
              <w:jc w:val="left"/>
            </w:pPr>
            <w:r>
              <w:rPr>
                <w:b w:val="0"/>
                <w:i w:val="0"/>
                <w:sz w:val="16"/>
              </w:rPr>
              <w:t>HMAC, posture, rôle, révocation, audit.</w:t>
            </w:r>
          </w:p>
        </w:tc>
        <w:tc>
          <w:tcPr>
            <w:tcW w:type="dxa" w:w="1361"/>
          </w:tcPr>
          <w:p>
            <w:pPr>
              <w:spacing w:after="0" w:line="245" w:lineRule="auto"/>
              <w:jc w:val="left"/>
            </w:pPr>
            <w:r>
              <w:rPr>
                <w:b w:val="0"/>
                <w:i w:val="0"/>
                <w:sz w:val="16"/>
              </w:rPr>
              <w:t>EF-02, EF-09</w:t>
            </w:r>
          </w:p>
        </w:tc>
      </w:tr>
      <w:tr>
        <w:trPr>
          <w:cantSplit w:val="true"/>
        </w:trPr>
        <w:tc>
          <w:tcPr>
            <w:tcW w:type="dxa" w:w="510"/>
            <w:shd w:val="clear" w:color="auto" w:fill="F3F6FA"/>
          </w:tcPr>
          <w:p>
            <w:pPr>
              <w:spacing w:after="0" w:line="245" w:lineRule="auto"/>
              <w:jc w:val="center"/>
            </w:pPr>
            <w:r>
              <w:rPr>
                <w:b/>
                <w:i w:val="0"/>
                <w:sz w:val="16"/>
              </w:rPr>
              <w:t>R04</w:t>
            </w:r>
          </w:p>
        </w:tc>
        <w:tc>
          <w:tcPr>
            <w:tcW w:type="dxa" w:w="3402"/>
            <w:shd w:val="clear" w:color="auto" w:fill="F3F6FA"/>
          </w:tcPr>
          <w:p>
            <w:pPr>
              <w:spacing w:after="0" w:line="245" w:lineRule="auto"/>
              <w:jc w:val="left"/>
            </w:pPr>
            <w:r>
              <w:rPr>
                <w:b w:val="0"/>
                <w:i w:val="0"/>
                <w:sz w:val="16"/>
              </w:rPr>
              <w:t>Accès hors besoin d'en connaître.</w:t>
            </w:r>
          </w:p>
        </w:tc>
        <w:tc>
          <w:tcPr>
            <w:tcW w:type="dxa" w:w="397"/>
            <w:shd w:val="clear" w:color="auto" w:fill="F3F6FA"/>
          </w:tcPr>
          <w:p>
            <w:pPr>
              <w:spacing w:after="0" w:line="245" w:lineRule="auto"/>
              <w:jc w:val="center"/>
            </w:pPr>
            <w:r>
              <w:rPr>
                <w:b w:val="0"/>
                <w:i w:val="0"/>
                <w:sz w:val="16"/>
              </w:rPr>
              <w:t>4</w:t>
            </w:r>
          </w:p>
        </w:tc>
        <w:tc>
          <w:tcPr>
            <w:tcW w:type="dxa" w:w="397"/>
            <w:shd w:val="clear" w:color="auto" w:fill="F3F6FA"/>
          </w:tcPr>
          <w:p>
            <w:pPr>
              <w:spacing w:after="0" w:line="245" w:lineRule="auto"/>
              <w:jc w:val="center"/>
            </w:pPr>
            <w:r>
              <w:rPr>
                <w:b w:val="0"/>
                <w:i w:val="0"/>
                <w:sz w:val="16"/>
              </w:rPr>
              <w:t>4</w:t>
            </w:r>
          </w:p>
        </w:tc>
        <w:tc>
          <w:tcPr>
            <w:tcW w:type="dxa" w:w="510"/>
            <w:shd w:val="clear" w:color="auto" w:fill="F3F6FA"/>
          </w:tcPr>
          <w:p>
            <w:pPr>
              <w:spacing w:after="0" w:line="245" w:lineRule="auto"/>
              <w:jc w:val="center"/>
            </w:pPr>
            <w:r>
              <w:rPr>
                <w:b w:val="0"/>
                <w:i w:val="0"/>
                <w:sz w:val="16"/>
              </w:rPr>
              <w:t>16</w:t>
            </w:r>
          </w:p>
        </w:tc>
        <w:tc>
          <w:tcPr>
            <w:tcW w:type="dxa" w:w="3061"/>
            <w:shd w:val="clear" w:color="auto" w:fill="F3F6FA"/>
          </w:tcPr>
          <w:p>
            <w:pPr>
              <w:spacing w:after="0" w:line="245" w:lineRule="auto"/>
              <w:jc w:val="left"/>
            </w:pPr>
            <w:r>
              <w:rPr>
                <w:b w:val="0"/>
                <w:i w:val="0"/>
                <w:sz w:val="16"/>
              </w:rPr>
              <w:t>Compartiments, ressources filtrées, refus générique.</w:t>
            </w:r>
          </w:p>
        </w:tc>
        <w:tc>
          <w:tcPr>
            <w:tcW w:type="dxa" w:w="1361"/>
            <w:shd w:val="clear" w:color="auto" w:fill="F3F6FA"/>
          </w:tcPr>
          <w:p>
            <w:pPr>
              <w:spacing w:after="0" w:line="245" w:lineRule="auto"/>
              <w:jc w:val="left"/>
            </w:pPr>
            <w:r>
              <w:rPr>
                <w:b w:val="0"/>
                <w:i w:val="0"/>
                <w:sz w:val="16"/>
              </w:rPr>
              <w:t>EF-03, EF-11</w:t>
            </w:r>
          </w:p>
        </w:tc>
      </w:tr>
      <w:tr>
        <w:trPr>
          <w:cantSplit w:val="true"/>
        </w:trPr>
        <w:tc>
          <w:tcPr>
            <w:tcW w:type="dxa" w:w="510"/>
          </w:tcPr>
          <w:p>
            <w:pPr>
              <w:spacing w:after="0" w:line="245" w:lineRule="auto"/>
              <w:jc w:val="center"/>
            </w:pPr>
            <w:r>
              <w:rPr>
                <w:b/>
                <w:i w:val="0"/>
                <w:sz w:val="16"/>
              </w:rPr>
              <w:t>R05</w:t>
            </w:r>
          </w:p>
        </w:tc>
        <w:tc>
          <w:tcPr>
            <w:tcW w:type="dxa" w:w="3402"/>
          </w:tcPr>
          <w:p>
            <w:pPr>
              <w:spacing w:after="0" w:line="245" w:lineRule="auto"/>
              <w:jc w:val="left"/>
            </w:pPr>
            <w:r>
              <w:rPr>
                <w:b w:val="0"/>
                <w:i w:val="0"/>
                <w:sz w:val="16"/>
              </w:rPr>
              <w:t>Fuite par message d'erreur ou énumération d'identifiants.</w:t>
            </w:r>
          </w:p>
        </w:tc>
        <w:tc>
          <w:tcPr>
            <w:tcW w:type="dxa" w:w="397"/>
          </w:tcPr>
          <w:p>
            <w:pPr>
              <w:spacing w:after="0" w:line="245" w:lineRule="auto"/>
              <w:jc w:val="center"/>
            </w:pPr>
            <w:r>
              <w:rPr>
                <w:b w:val="0"/>
                <w:i w:val="0"/>
                <w:sz w:val="16"/>
              </w:rPr>
              <w:t>4</w:t>
            </w:r>
          </w:p>
        </w:tc>
        <w:tc>
          <w:tcPr>
            <w:tcW w:type="dxa" w:w="397"/>
          </w:tcPr>
          <w:p>
            <w:pPr>
              <w:spacing w:after="0" w:line="245" w:lineRule="auto"/>
              <w:jc w:val="center"/>
            </w:pPr>
            <w:r>
              <w:rPr>
                <w:b w:val="0"/>
                <w:i w:val="0"/>
                <w:sz w:val="16"/>
              </w:rPr>
              <w:t>3</w:t>
            </w:r>
          </w:p>
        </w:tc>
        <w:tc>
          <w:tcPr>
            <w:tcW w:type="dxa" w:w="510"/>
          </w:tcPr>
          <w:p>
            <w:pPr>
              <w:spacing w:after="0" w:line="245" w:lineRule="auto"/>
              <w:jc w:val="center"/>
            </w:pPr>
            <w:r>
              <w:rPr>
                <w:b w:val="0"/>
                <w:i w:val="0"/>
                <w:sz w:val="16"/>
              </w:rPr>
              <w:t>12</w:t>
            </w:r>
          </w:p>
        </w:tc>
        <w:tc>
          <w:tcPr>
            <w:tcW w:type="dxa" w:w="3061"/>
          </w:tcPr>
          <w:p>
            <w:pPr>
              <w:spacing w:after="0" w:line="245" w:lineRule="auto"/>
              <w:jc w:val="left"/>
            </w:pPr>
            <w:r>
              <w:rPr>
                <w:b w:val="0"/>
                <w:i w:val="0"/>
                <w:sz w:val="16"/>
              </w:rPr>
              <w:t>Refus identiques, validation stricte, aucun oracle.</w:t>
            </w:r>
          </w:p>
        </w:tc>
        <w:tc>
          <w:tcPr>
            <w:tcW w:type="dxa" w:w="1361"/>
          </w:tcPr>
          <w:p>
            <w:pPr>
              <w:spacing w:after="0" w:line="245" w:lineRule="auto"/>
              <w:jc w:val="left"/>
            </w:pPr>
            <w:r>
              <w:rPr>
                <w:b w:val="0"/>
                <w:i w:val="0"/>
                <w:sz w:val="16"/>
              </w:rPr>
              <w:t>EF-03, EF-12</w:t>
            </w:r>
          </w:p>
        </w:tc>
      </w:tr>
      <w:tr>
        <w:trPr>
          <w:cantSplit w:val="true"/>
        </w:trPr>
        <w:tc>
          <w:tcPr>
            <w:tcW w:type="dxa" w:w="510"/>
            <w:shd w:val="clear" w:color="auto" w:fill="F3F6FA"/>
          </w:tcPr>
          <w:p>
            <w:pPr>
              <w:spacing w:after="0" w:line="245" w:lineRule="auto"/>
              <w:jc w:val="center"/>
            </w:pPr>
            <w:r>
              <w:rPr>
                <w:b/>
                <w:i w:val="0"/>
                <w:sz w:val="16"/>
              </w:rPr>
              <w:t>R06</w:t>
            </w:r>
          </w:p>
        </w:tc>
        <w:tc>
          <w:tcPr>
            <w:tcW w:type="dxa" w:w="3402"/>
            <w:shd w:val="clear" w:color="auto" w:fill="F3F6FA"/>
          </w:tcPr>
          <w:p>
            <w:pPr>
              <w:spacing w:after="0" w:line="245" w:lineRule="auto"/>
              <w:jc w:val="left"/>
            </w:pPr>
            <w:r>
              <w:rPr>
                <w:b w:val="0"/>
                <w:i w:val="0"/>
                <w:sz w:val="16"/>
              </w:rPr>
              <w:t>Altération ou suppression des traces.</w:t>
            </w:r>
          </w:p>
        </w:tc>
        <w:tc>
          <w:tcPr>
            <w:tcW w:type="dxa" w:w="397"/>
            <w:shd w:val="clear" w:color="auto" w:fill="F3F6FA"/>
          </w:tcPr>
          <w:p>
            <w:pPr>
              <w:spacing w:after="0" w:line="245" w:lineRule="auto"/>
              <w:jc w:val="center"/>
            </w:pPr>
            <w:r>
              <w:rPr>
                <w:b w:val="0"/>
                <w:i w:val="0"/>
                <w:sz w:val="16"/>
              </w:rPr>
              <w:t>3</w:t>
            </w:r>
          </w:p>
        </w:tc>
        <w:tc>
          <w:tcPr>
            <w:tcW w:type="dxa" w:w="397"/>
            <w:shd w:val="clear" w:color="auto" w:fill="F3F6FA"/>
          </w:tcPr>
          <w:p>
            <w:pPr>
              <w:spacing w:after="0" w:line="245" w:lineRule="auto"/>
              <w:jc w:val="center"/>
            </w:pPr>
            <w:r>
              <w:rPr>
                <w:b w:val="0"/>
                <w:i w:val="0"/>
                <w:sz w:val="16"/>
              </w:rPr>
              <w:t>5</w:t>
            </w:r>
          </w:p>
        </w:tc>
        <w:tc>
          <w:tcPr>
            <w:tcW w:type="dxa" w:w="510"/>
            <w:shd w:val="clear" w:color="auto" w:fill="F3F6FA"/>
          </w:tcPr>
          <w:p>
            <w:pPr>
              <w:spacing w:after="0" w:line="245" w:lineRule="auto"/>
              <w:jc w:val="center"/>
            </w:pPr>
            <w:r>
              <w:rPr>
                <w:b w:val="0"/>
                <w:i w:val="0"/>
                <w:sz w:val="16"/>
              </w:rPr>
              <w:t>15</w:t>
            </w:r>
          </w:p>
        </w:tc>
        <w:tc>
          <w:tcPr>
            <w:tcW w:type="dxa" w:w="3061"/>
            <w:shd w:val="clear" w:color="auto" w:fill="F3F6FA"/>
          </w:tcPr>
          <w:p>
            <w:pPr>
              <w:spacing w:after="0" w:line="245" w:lineRule="auto"/>
              <w:jc w:val="left"/>
            </w:pPr>
            <w:r>
              <w:rPr>
                <w:b w:val="0"/>
                <w:i w:val="0"/>
                <w:sz w:val="16"/>
              </w:rPr>
              <w:t>Chaîne SHA-256, append-only, vérification.</w:t>
            </w:r>
          </w:p>
        </w:tc>
        <w:tc>
          <w:tcPr>
            <w:tcW w:type="dxa" w:w="1361"/>
            <w:shd w:val="clear" w:color="auto" w:fill="F3F6FA"/>
          </w:tcPr>
          <w:p>
            <w:pPr>
              <w:spacing w:after="0" w:line="245" w:lineRule="auto"/>
              <w:jc w:val="left"/>
            </w:pPr>
            <w:r>
              <w:rPr>
                <w:b w:val="0"/>
                <w:i w:val="0"/>
                <w:sz w:val="16"/>
              </w:rPr>
              <w:t>EF-08, ENF-08</w:t>
            </w:r>
          </w:p>
        </w:tc>
      </w:tr>
      <w:tr>
        <w:trPr>
          <w:cantSplit w:val="true"/>
        </w:trPr>
        <w:tc>
          <w:tcPr>
            <w:tcW w:type="dxa" w:w="510"/>
          </w:tcPr>
          <w:p>
            <w:pPr>
              <w:spacing w:after="0" w:line="245" w:lineRule="auto"/>
              <w:jc w:val="center"/>
            </w:pPr>
            <w:r>
              <w:rPr>
                <w:b/>
                <w:i w:val="0"/>
                <w:sz w:val="16"/>
              </w:rPr>
              <w:t>R07</w:t>
            </w:r>
          </w:p>
        </w:tc>
        <w:tc>
          <w:tcPr>
            <w:tcW w:type="dxa" w:w="3402"/>
          </w:tcPr>
          <w:p>
            <w:pPr>
              <w:spacing w:after="0" w:line="245" w:lineRule="auto"/>
              <w:jc w:val="left"/>
            </w:pPr>
            <w:r>
              <w:rPr>
                <w:b w:val="0"/>
                <w:i w:val="0"/>
                <w:sz w:val="16"/>
              </w:rPr>
              <w:t>Poste client compromis ou non conforme.</w:t>
            </w:r>
          </w:p>
        </w:tc>
        <w:tc>
          <w:tcPr>
            <w:tcW w:type="dxa" w:w="397"/>
          </w:tcPr>
          <w:p>
            <w:pPr>
              <w:spacing w:after="0" w:line="245" w:lineRule="auto"/>
              <w:jc w:val="center"/>
            </w:pPr>
            <w:r>
              <w:rPr>
                <w:b w:val="0"/>
                <w:i w:val="0"/>
                <w:sz w:val="16"/>
              </w:rPr>
              <w:t>4</w:t>
            </w:r>
          </w:p>
        </w:tc>
        <w:tc>
          <w:tcPr>
            <w:tcW w:type="dxa" w:w="397"/>
          </w:tcPr>
          <w:p>
            <w:pPr>
              <w:spacing w:after="0" w:line="245" w:lineRule="auto"/>
              <w:jc w:val="center"/>
            </w:pPr>
            <w:r>
              <w:rPr>
                <w:b w:val="0"/>
                <w:i w:val="0"/>
                <w:sz w:val="16"/>
              </w:rPr>
              <w:t>4</w:t>
            </w:r>
          </w:p>
        </w:tc>
        <w:tc>
          <w:tcPr>
            <w:tcW w:type="dxa" w:w="510"/>
          </w:tcPr>
          <w:p>
            <w:pPr>
              <w:spacing w:after="0" w:line="245" w:lineRule="auto"/>
              <w:jc w:val="center"/>
            </w:pPr>
            <w:r>
              <w:rPr>
                <w:b w:val="0"/>
                <w:i w:val="0"/>
                <w:sz w:val="16"/>
              </w:rPr>
              <w:t>16</w:t>
            </w:r>
          </w:p>
        </w:tc>
        <w:tc>
          <w:tcPr>
            <w:tcW w:type="dxa" w:w="3061"/>
          </w:tcPr>
          <w:p>
            <w:pPr>
              <w:spacing w:after="0" w:line="245" w:lineRule="auto"/>
              <w:jc w:val="left"/>
            </w:pPr>
            <w:r>
              <w:rPr>
                <w:b w:val="0"/>
                <w:i w:val="0"/>
                <w:sz w:val="16"/>
              </w:rPr>
              <w:t>Attestation de posture, refus explicite, moindre privilège.</w:t>
            </w:r>
          </w:p>
        </w:tc>
        <w:tc>
          <w:tcPr>
            <w:tcW w:type="dxa" w:w="1361"/>
          </w:tcPr>
          <w:p>
            <w:pPr>
              <w:spacing w:after="0" w:line="245" w:lineRule="auto"/>
              <w:jc w:val="left"/>
            </w:pPr>
            <w:r>
              <w:rPr>
                <w:b w:val="0"/>
                <w:i w:val="0"/>
                <w:sz w:val="16"/>
              </w:rPr>
              <w:t>EF-02, ENF-05</w:t>
            </w:r>
          </w:p>
        </w:tc>
      </w:tr>
      <w:tr>
        <w:trPr>
          <w:cantSplit w:val="true"/>
        </w:trPr>
        <w:tc>
          <w:tcPr>
            <w:tcW w:type="dxa" w:w="510"/>
            <w:shd w:val="clear" w:color="auto" w:fill="F3F6FA"/>
          </w:tcPr>
          <w:p>
            <w:pPr>
              <w:spacing w:after="0" w:line="245" w:lineRule="auto"/>
              <w:jc w:val="center"/>
            </w:pPr>
            <w:r>
              <w:rPr>
                <w:b/>
                <w:i w:val="0"/>
                <w:sz w:val="16"/>
              </w:rPr>
              <w:t>R08</w:t>
            </w:r>
          </w:p>
        </w:tc>
        <w:tc>
          <w:tcPr>
            <w:tcW w:type="dxa" w:w="3402"/>
            <w:shd w:val="clear" w:color="auto" w:fill="F3F6FA"/>
          </w:tcPr>
          <w:p>
            <w:pPr>
              <w:spacing w:after="0" w:line="245" w:lineRule="auto"/>
              <w:jc w:val="left"/>
            </w:pPr>
            <w:r>
              <w:rPr>
                <w:b w:val="0"/>
                <w:i w:val="0"/>
                <w:sz w:val="16"/>
              </w:rPr>
              <w:t>Saturation du service par un client.</w:t>
            </w:r>
          </w:p>
        </w:tc>
        <w:tc>
          <w:tcPr>
            <w:tcW w:type="dxa" w:w="397"/>
            <w:shd w:val="clear" w:color="auto" w:fill="F3F6FA"/>
          </w:tcPr>
          <w:p>
            <w:pPr>
              <w:spacing w:after="0" w:line="245" w:lineRule="auto"/>
              <w:jc w:val="center"/>
            </w:pPr>
            <w:r>
              <w:rPr>
                <w:b w:val="0"/>
                <w:i w:val="0"/>
                <w:sz w:val="16"/>
              </w:rPr>
              <w:t>4</w:t>
            </w:r>
          </w:p>
        </w:tc>
        <w:tc>
          <w:tcPr>
            <w:tcW w:type="dxa" w:w="397"/>
            <w:shd w:val="clear" w:color="auto" w:fill="F3F6FA"/>
          </w:tcPr>
          <w:p>
            <w:pPr>
              <w:spacing w:after="0" w:line="245" w:lineRule="auto"/>
              <w:jc w:val="center"/>
            </w:pPr>
            <w:r>
              <w:rPr>
                <w:b w:val="0"/>
                <w:i w:val="0"/>
                <w:sz w:val="16"/>
              </w:rPr>
              <w:t>3</w:t>
            </w:r>
          </w:p>
        </w:tc>
        <w:tc>
          <w:tcPr>
            <w:tcW w:type="dxa" w:w="510"/>
            <w:shd w:val="clear" w:color="auto" w:fill="F3F6FA"/>
          </w:tcPr>
          <w:p>
            <w:pPr>
              <w:spacing w:after="0" w:line="245" w:lineRule="auto"/>
              <w:jc w:val="center"/>
            </w:pPr>
            <w:r>
              <w:rPr>
                <w:b w:val="0"/>
                <w:i w:val="0"/>
                <w:sz w:val="16"/>
              </w:rPr>
              <w:t>12</w:t>
            </w:r>
          </w:p>
        </w:tc>
        <w:tc>
          <w:tcPr>
            <w:tcW w:type="dxa" w:w="3061"/>
            <w:shd w:val="clear" w:color="auto" w:fill="F3F6FA"/>
          </w:tcPr>
          <w:p>
            <w:pPr>
              <w:spacing w:after="0" w:line="245" w:lineRule="auto"/>
              <w:jc w:val="left"/>
            </w:pPr>
            <w:r>
              <w:rPr>
                <w:b w:val="0"/>
                <w:i w:val="0"/>
                <w:sz w:val="16"/>
              </w:rPr>
              <w:t>Limiteur par sujet, fenêtre glissante.</w:t>
            </w:r>
          </w:p>
        </w:tc>
        <w:tc>
          <w:tcPr>
            <w:tcW w:type="dxa" w:w="1361"/>
            <w:shd w:val="clear" w:color="auto" w:fill="F3F6FA"/>
          </w:tcPr>
          <w:p>
            <w:pPr>
              <w:spacing w:after="0" w:line="245" w:lineRule="auto"/>
              <w:jc w:val="left"/>
            </w:pPr>
            <w:r>
              <w:rPr>
                <w:b w:val="0"/>
                <w:i w:val="0"/>
                <w:sz w:val="16"/>
              </w:rPr>
              <w:t>EF-13, ENF-09</w:t>
            </w:r>
          </w:p>
        </w:tc>
      </w:tr>
      <w:tr>
        <w:trPr>
          <w:cantSplit w:val="true"/>
        </w:trPr>
        <w:tc>
          <w:tcPr>
            <w:tcW w:type="dxa" w:w="510"/>
          </w:tcPr>
          <w:p>
            <w:pPr>
              <w:spacing w:after="0" w:line="245" w:lineRule="auto"/>
              <w:jc w:val="center"/>
            </w:pPr>
            <w:r>
              <w:rPr>
                <w:b/>
                <w:i w:val="0"/>
                <w:sz w:val="16"/>
              </w:rPr>
              <w:t>R09</w:t>
            </w:r>
          </w:p>
        </w:tc>
        <w:tc>
          <w:tcPr>
            <w:tcW w:type="dxa" w:w="3402"/>
          </w:tcPr>
          <w:p>
            <w:pPr>
              <w:spacing w:after="0" w:line="245" w:lineRule="auto"/>
              <w:jc w:val="left"/>
            </w:pPr>
            <w:r>
              <w:rPr>
                <w:b w:val="0"/>
                <w:i w:val="0"/>
                <w:sz w:val="16"/>
              </w:rPr>
              <w:t>Empoisonnement de la base de renseignement.</w:t>
            </w:r>
          </w:p>
        </w:tc>
        <w:tc>
          <w:tcPr>
            <w:tcW w:type="dxa" w:w="397"/>
          </w:tcPr>
          <w:p>
            <w:pPr>
              <w:spacing w:after="0" w:line="245" w:lineRule="auto"/>
              <w:jc w:val="center"/>
            </w:pPr>
            <w:r>
              <w:rPr>
                <w:b w:val="0"/>
                <w:i w:val="0"/>
                <w:sz w:val="16"/>
              </w:rPr>
              <w:t>3</w:t>
            </w:r>
          </w:p>
        </w:tc>
        <w:tc>
          <w:tcPr>
            <w:tcW w:type="dxa" w:w="397"/>
          </w:tcPr>
          <w:p>
            <w:pPr>
              <w:spacing w:after="0" w:line="245" w:lineRule="auto"/>
              <w:jc w:val="center"/>
            </w:pPr>
            <w:r>
              <w:rPr>
                <w:b w:val="0"/>
                <w:i w:val="0"/>
                <w:sz w:val="16"/>
              </w:rPr>
              <w:t>5</w:t>
            </w:r>
          </w:p>
        </w:tc>
        <w:tc>
          <w:tcPr>
            <w:tcW w:type="dxa" w:w="510"/>
          </w:tcPr>
          <w:p>
            <w:pPr>
              <w:spacing w:after="0" w:line="245" w:lineRule="auto"/>
              <w:jc w:val="center"/>
            </w:pPr>
            <w:r>
              <w:rPr>
                <w:b w:val="0"/>
                <w:i w:val="0"/>
                <w:sz w:val="16"/>
              </w:rPr>
              <w:t>15</w:t>
            </w:r>
          </w:p>
        </w:tc>
        <w:tc>
          <w:tcPr>
            <w:tcW w:type="dxa" w:w="3061"/>
          </w:tcPr>
          <w:p>
            <w:pPr>
              <w:spacing w:after="0" w:line="245" w:lineRule="auto"/>
              <w:jc w:val="left"/>
            </w:pPr>
            <w:r>
              <w:rPr>
                <w:b w:val="0"/>
                <w:i w:val="0"/>
                <w:sz w:val="16"/>
              </w:rPr>
              <w:t>Assainissement à l'ingestion, validation, score explicable.</w:t>
            </w:r>
          </w:p>
        </w:tc>
        <w:tc>
          <w:tcPr>
            <w:tcW w:type="dxa" w:w="1361"/>
          </w:tcPr>
          <w:p>
            <w:pPr>
              <w:spacing w:after="0" w:line="245" w:lineRule="auto"/>
              <w:jc w:val="left"/>
            </w:pPr>
            <w:r>
              <w:rPr>
                <w:b w:val="0"/>
                <w:i w:val="0"/>
                <w:sz w:val="16"/>
              </w:rPr>
              <w:t>EF-05, EF-07</w:t>
            </w:r>
          </w:p>
        </w:tc>
      </w:tr>
      <w:tr>
        <w:trPr>
          <w:cantSplit w:val="true"/>
        </w:trPr>
        <w:tc>
          <w:tcPr>
            <w:tcW w:type="dxa" w:w="510"/>
            <w:shd w:val="clear" w:color="auto" w:fill="F3F6FA"/>
          </w:tcPr>
          <w:p>
            <w:pPr>
              <w:spacing w:after="0" w:line="245" w:lineRule="auto"/>
              <w:jc w:val="center"/>
            </w:pPr>
            <w:r>
              <w:rPr>
                <w:b/>
                <w:i w:val="0"/>
                <w:sz w:val="16"/>
              </w:rPr>
              <w:t>R10</w:t>
            </w:r>
          </w:p>
        </w:tc>
        <w:tc>
          <w:tcPr>
            <w:tcW w:type="dxa" w:w="3402"/>
            <w:shd w:val="clear" w:color="auto" w:fill="F3F6FA"/>
          </w:tcPr>
          <w:p>
            <w:pPr>
              <w:spacing w:after="0" w:line="245" w:lineRule="auto"/>
              <w:jc w:val="left"/>
            </w:pPr>
            <w:r>
              <w:rPr>
                <w:b w:val="0"/>
                <w:i w:val="0"/>
                <w:sz w:val="16"/>
              </w:rPr>
              <w:t>Fichiers, base ou clé laissés accessibles.</w:t>
            </w:r>
          </w:p>
        </w:tc>
        <w:tc>
          <w:tcPr>
            <w:tcW w:type="dxa" w:w="397"/>
            <w:shd w:val="clear" w:color="auto" w:fill="F3F6FA"/>
          </w:tcPr>
          <w:p>
            <w:pPr>
              <w:spacing w:after="0" w:line="245" w:lineRule="auto"/>
              <w:jc w:val="center"/>
            </w:pPr>
            <w:r>
              <w:rPr>
                <w:b w:val="0"/>
                <w:i w:val="0"/>
                <w:sz w:val="16"/>
              </w:rPr>
              <w:t>3</w:t>
            </w:r>
          </w:p>
        </w:tc>
        <w:tc>
          <w:tcPr>
            <w:tcW w:type="dxa" w:w="397"/>
            <w:shd w:val="clear" w:color="auto" w:fill="F3F6FA"/>
          </w:tcPr>
          <w:p>
            <w:pPr>
              <w:spacing w:after="0" w:line="245" w:lineRule="auto"/>
              <w:jc w:val="center"/>
            </w:pPr>
            <w:r>
              <w:rPr>
                <w:b w:val="0"/>
                <w:i w:val="0"/>
                <w:sz w:val="16"/>
              </w:rPr>
              <w:t>4</w:t>
            </w:r>
          </w:p>
        </w:tc>
        <w:tc>
          <w:tcPr>
            <w:tcW w:type="dxa" w:w="510"/>
            <w:shd w:val="clear" w:color="auto" w:fill="F3F6FA"/>
          </w:tcPr>
          <w:p>
            <w:pPr>
              <w:spacing w:after="0" w:line="245" w:lineRule="auto"/>
              <w:jc w:val="center"/>
            </w:pPr>
            <w:r>
              <w:rPr>
                <w:b w:val="0"/>
                <w:i w:val="0"/>
                <w:sz w:val="16"/>
              </w:rPr>
              <w:t>12</w:t>
            </w:r>
          </w:p>
        </w:tc>
        <w:tc>
          <w:tcPr>
            <w:tcW w:type="dxa" w:w="3061"/>
            <w:shd w:val="clear" w:color="auto" w:fill="F3F6FA"/>
          </w:tcPr>
          <w:p>
            <w:pPr>
              <w:spacing w:after="0" w:line="245" w:lineRule="auto"/>
              <w:jc w:val="left"/>
            </w:pPr>
            <w:r>
              <w:rPr>
                <w:b w:val="0"/>
                <w:i w:val="0"/>
                <w:sz w:val="16"/>
              </w:rPr>
              <w:t>Base 0440, clé 0400, service non privilégié.</w:t>
            </w:r>
          </w:p>
        </w:tc>
        <w:tc>
          <w:tcPr>
            <w:tcW w:type="dxa" w:w="1361"/>
            <w:shd w:val="clear" w:color="auto" w:fill="F3F6FA"/>
          </w:tcPr>
          <w:p>
            <w:pPr>
              <w:spacing w:after="0" w:line="245" w:lineRule="auto"/>
              <w:jc w:val="left"/>
            </w:pPr>
            <w:r>
              <w:rPr>
                <w:b w:val="0"/>
                <w:i w:val="0"/>
                <w:sz w:val="16"/>
              </w:rPr>
              <w:t>ENF-06, ENF-07</w:t>
            </w:r>
          </w:p>
        </w:tc>
      </w:tr>
    </w:tbl>
    <w:p>
      <w:pPr>
        <w:pStyle w:val="Source"/>
      </w:pPr>
      <w:r>
        <w:rPr>
          <w:rFonts w:ascii="Calibri" w:hAnsi="Calibri" w:eastAsia="Calibri"/>
          <w:i/>
          <w:color w:val="5B6577"/>
          <w:sz w:val="16"/>
        </w:rPr>
        <w:t>Source : modèle de menace du projet ; scores assumés et justifiés, non mesurés.</w:t>
      </w:r>
    </w:p>
    <w:p>
      <w:pPr>
        <w:keepNext w:val="0"/>
      </w:pPr>
      <w:r>
        <w:rPr>
          <w:b w:val="0"/>
          <w:i w:val="0"/>
        </w:rPr>
        <w:t>Deux risques dominent : la fuite par réponse trop riche (R01) et l'injection par flux partenaire (R02). Ils ont le même score, mais ils n'appellent pas les mêmes contrôles. R01 se traite par la décision d'accès et l'enveloppe de réponse ; R02 se traite à l'ingestion et à la présentation. Le fait de les séparer nous a évité de croire qu'un filtre d'injection suffirait à protéger un bulletin Secret, ou qu'un contrôle d'accès suffirait à neutraliser une instruction cachée.</w:t>
      </w:r>
    </w:p>
    <w:p>
      <w:pPr>
        <w:pStyle w:val="Heading2"/>
      </w:pPr>
      <w:r>
        <w:rPr>
          <w:rFonts w:ascii="Calibri" w:hAnsi="Calibri" w:eastAsia="Calibri"/>
          <w:b/>
          <w:color w:val="2F6DB3"/>
          <w:sz w:val="28"/>
        </w:rPr>
        <w:t>2.4 Exigences fonctionnelles</w:t>
      </w:r>
    </w:p>
    <w:p>
      <w:pPr>
        <w:keepNext w:val="0"/>
      </w:pPr>
      <w:r>
        <w:rPr>
          <w:b w:val="0"/>
          <w:i w:val="0"/>
        </w:rPr>
        <w:t xml:space="preserve">Treize exigences fonctionnelles décrivent ce que le serveur doit </w:t>
      </w:r>
      <w:r>
        <w:rPr>
          <w:b/>
          <w:i w:val="0"/>
        </w:rPr>
        <w:t>faire</w:t>
      </w:r>
      <w:r>
        <w:rPr>
          <w:b w:val="0"/>
          <w:i w:val="0"/>
        </w:rPr>
        <w:t xml:space="preserve"> ; chacune cite les risques qu'elle réduit et le test qui la vérifie. Le catalogue expose six outils en lecture seule avec schémas stricts (EF-01, testé N01). Chaque appel est authentifié par jeton signé et posture (EF-02, A01–A05). La décision combine rôle, finalité, habilitation et compartiments, avec refus sans oracle (EF-03, A06–A09, A15) ; l'étiquette de sortie masque les champs protégés (EF-04, N03, N04, N10). L'assainissement neutralise les instructions hostiles (EF-05, A10) et la recherche résiste à l'injection SQL (EF-06, N02, N05, N06, A13). L'enrichissement, la corrélation et le score restent explicables (EF-07, N07–N09).</w:t>
      </w:r>
    </w:p>
    <w:p>
      <w:pPr>
        <w:keepNext w:val="0"/>
      </w:pPr>
      <w:r>
        <w:rPr>
          <w:b w:val="0"/>
          <w:i w:val="0"/>
        </w:rPr>
        <w:t xml:space="preserve">Chaque décision est journalisée (EF-08, N03, A01–A05, A14) et la révocation s'applique à la requête suivante (EF-09, A04, N13). L'état de santé ne divulgue aucun contenu (EF-10, N01, N11), les ressources sont filtrées (EF-11, N10, A15), les entrées invalides sont refusées (EF-12, N12, A09, A11, A16) et le débit est limité (EF-13, A12). Toutes sont </w:t>
      </w:r>
      <w:r>
        <w:rPr>
          <w:b/>
          <w:i w:val="0"/>
        </w:rPr>
        <w:t>testées</w:t>
      </w:r>
      <w:r>
        <w:rPr>
          <w:b w:val="0"/>
          <w:i w:val="0"/>
        </w:rPr>
        <w:t xml:space="preserve"> au 27 octobre 2026.</w:t>
      </w:r>
    </w:p>
    <w:p>
      <w:pPr>
        <w:pStyle w:val="Heading2"/>
      </w:pPr>
      <w:r>
        <w:rPr>
          <w:rFonts w:ascii="Calibri" w:hAnsi="Calibri" w:eastAsia="Calibri"/>
          <w:b/>
          <w:color w:val="2F6DB3"/>
          <w:sz w:val="28"/>
        </w:rPr>
        <w:t>2.5 Exigences non fonctionnelles</w:t>
      </w:r>
    </w:p>
    <w:p>
      <w:pPr>
        <w:keepNext w:val="0"/>
      </w:pPr>
      <w:r>
        <w:rPr>
          <w:b w:val="0"/>
          <w:i w:val="0"/>
        </w:rPr>
        <w:t>Douze exigences non fonctionnelles, toutes mesurées au 27 octobre 2026 : latence p95 ≤ 50 ms (12,42 ms sur 60 requêtes) ; 100 % des abus refusés ou neutralisés sans fuite (16/16) ; 100 % des appels attendus journalisés (115/115) ; révocation appliquée à la requête suivante en ≤ 5 s (10,0 ms) ; aucun client réseau sortant et aucun secret dans l'état ; exécution sous uid 65534 ; base 0440 et clé 0400 ; détection de toute altération du journal ; robustesse aux entrées invalides ; portabilité sans dépendance hors bibliothèque standard ; survie de la révocation et de la chaîne au redémarrage ; injection 3/3 avec 0 faux positif sur 11 bénins. Chaque seuil a été fixé avant l'exécution, pas après.</w:t>
      </w:r>
    </w:p>
    <w:p>
      <w:pPr>
        <w:pStyle w:val="Heading2"/>
      </w:pPr>
      <w:r>
        <w:rPr>
          <w:rFonts w:ascii="Calibri" w:hAnsi="Calibri" w:eastAsia="Calibri"/>
          <w:b/>
          <w:color w:val="2F6DB3"/>
          <w:sz w:val="28"/>
        </w:rPr>
        <w:t>2.6 Lecture croisée risque → exigence → contrôle</w:t>
      </w:r>
    </w:p>
    <w:p>
      <w:pPr>
        <w:keepNext w:val="0"/>
      </w:pPr>
      <w:r>
        <w:rPr>
          <w:b w:val="0"/>
          <w:i w:val="0"/>
        </w:rPr>
        <w:t>La traçabilité est portée par le tableau des risques et par les exigences détaillées ci-dessus : le tableau associe à chaque R0x un contrôle principal et des exigences, et chaque exigence cite les risques réduits et le test qui la vérifie. La lecture croisée fait apparaître un choix important : le contrôle d'accès couvre à lui seul quatre risques, mais ni l'injection ni l'intégrité des traces. Nous avons donc refusé de considérer l'ABAC comme la réponse unique au problème. La protection du secret est un empilement de barrières indépendantes : si l'une cède, les autres ne s'effondrent pas avec elle.</w:t>
      </w:r>
    </w:p>
    <w:p>
      <w:pPr>
        <w:pStyle w:val="Heading1"/>
        <w:pageBreakBefore/>
      </w:pPr>
      <w:r>
        <w:rPr>
          <w:rFonts w:ascii="Calibri" w:hAnsi="Calibri" w:eastAsia="Calibri"/>
          <w:b/>
          <w:color w:val="10243F"/>
          <w:sz w:val="34"/>
        </w:rPr>
        <w:t>3. P2 — Étude comparative des solutions</w:t>
      </w:r>
    </w:p>
    <w:p>
      <w:pPr>
        <w:keepNext w:val="0"/>
      </w:pPr>
      <w:r>
        <w:rPr>
          <w:b w:val="0"/>
          <w:i w:val="0"/>
        </w:rPr>
        <w:t>Avant de coder, nous avons comparé quatre façons de rendre un service de Threat Intelligence accessible à un agent LLM. La comparaison n'est pas un concours de popularité : elle part de critères justifiés, puis note chaque candidat, puis assume une décision. Les notes sont des jugements argumentés sur une échelle de 1 à 5 ; elles ne prétendent pas être des mesures de laboratoire. Nous expliquons donc aussi ce qui se passerait si les poids changeaient.</w:t>
      </w:r>
    </w:p>
    <w:p>
      <w:pPr>
        <w:pStyle w:val="Heading2"/>
      </w:pPr>
      <w:r>
        <w:rPr>
          <w:rFonts w:ascii="Calibri" w:hAnsi="Calibri" w:eastAsia="Calibri"/>
          <w:b/>
          <w:color w:val="2F6DB3"/>
          <w:sz w:val="28"/>
        </w:rPr>
        <w:t>3.1 Critères, poids et justification</w:t>
      </w:r>
    </w:p>
    <w:p>
      <w:pPr>
        <w:keepNext w:val="0"/>
      </w:pPr>
      <w:r>
        <w:rPr>
          <w:b w:val="0"/>
          <w:i w:val="0"/>
        </w:rPr>
        <w:t>Les critères sont ordonnés avant de voir les résultats, pour éviter de choisir les poids en fonction du candidat préféré. Le critère de sécurité pèse le plus lourd parce que le sujet est la protection du secret ; le protocole et l'adéquation fonctionnelle viennent ensuite, car un serveur sûr mais inutilisable ne rend pas service. La maîtrise et le coût sont des contraintes de projet, pas des qualités intrinsèques.</w:t>
      </w:r>
    </w:p>
    <w:p>
      <w:pPr>
        <w:keepNext w:val="0"/>
      </w:pPr>
      <w:r>
        <w:rPr>
          <w:b w:val="0"/>
          <w:i w:val="0"/>
        </w:rPr>
        <w:t xml:space="preserve">Cinq critères et leurs poids sont fixés avant la notation. </w:t>
      </w:r>
      <w:r>
        <w:rPr>
          <w:b/>
          <w:i w:val="0"/>
        </w:rPr>
        <w:t>Sécurité du secret, 30 %</w:t>
      </w:r>
      <w:r>
        <w:rPr>
          <w:b w:val="0"/>
          <w:i w:val="0"/>
        </w:rPr>
        <w:t xml:space="preserve"> : une fuite annule l'utilité du service ; indicateurs observés, refus, masquage, audit et moindre privilège. </w:t>
      </w:r>
      <w:r>
        <w:rPr>
          <w:b/>
          <w:i w:val="0"/>
        </w:rPr>
        <w:t>Conformité MCP, 20 %</w:t>
      </w:r>
      <w:r>
        <w:rPr>
          <w:b w:val="0"/>
          <w:i w:val="0"/>
        </w:rPr>
        <w:t xml:space="preserve"> : l'agent doit découvrir et appeler les outils sans adaptation fragile ; </w:t>
      </w:r>
      <w:r>
        <w:rPr>
          <w:rFonts w:ascii="Consolas" w:hAnsi="Consolas" w:eastAsia="Consolas"/>
          <w:b w:val="0"/>
          <w:i w:val="0"/>
          <w:color w:val="1F2A3A"/>
        </w:rPr>
        <w:t>initialize</w:t>
      </w:r>
      <w:r>
        <w:rPr>
          <w:b w:val="0"/>
          <w:i w:val="0"/>
        </w:rPr>
        <w:t xml:space="preserve">, </w:t>
      </w:r>
      <w:r>
        <w:rPr>
          <w:rFonts w:ascii="Consolas" w:hAnsi="Consolas" w:eastAsia="Consolas"/>
          <w:b w:val="0"/>
          <w:i w:val="0"/>
          <w:color w:val="1F2A3A"/>
        </w:rPr>
        <w:t>tools/list</w:t>
      </w:r>
      <w:r>
        <w:rPr>
          <w:b w:val="0"/>
          <w:i w:val="0"/>
        </w:rPr>
        <w:t xml:space="preserve">, stdio, ressources. </w:t>
      </w:r>
      <w:r>
        <w:rPr>
          <w:b/>
          <w:i w:val="0"/>
        </w:rPr>
        <w:t>Adéquation TI, 20 %</w:t>
      </w:r>
      <w:r>
        <w:rPr>
          <w:b w:val="0"/>
          <w:i w:val="0"/>
        </w:rPr>
        <w:t xml:space="preserve"> : le service doit aider un SOC ; couverture des six outils et des étiquettes. </w:t>
      </w:r>
      <w:r>
        <w:rPr>
          <w:b/>
          <w:i w:val="0"/>
        </w:rPr>
        <w:t>Maîtrise et réversibilité, 15 %</w:t>
      </w:r>
      <w:r>
        <w:rPr>
          <w:b w:val="0"/>
          <w:i w:val="0"/>
        </w:rPr>
        <w:t xml:space="preserve"> : le projet doit rester compréhensible, réparable et portable ; dépendances, lisibilité, absence de verrou. </w:t>
      </w:r>
      <w:r>
        <w:rPr>
          <w:b/>
          <w:i w:val="0"/>
        </w:rPr>
        <w:t>Coût et délai, 15 %</w:t>
      </w:r>
      <w:r>
        <w:rPr>
          <w:b w:val="0"/>
          <w:i w:val="0"/>
        </w:rPr>
        <w:t xml:space="preserve"> : aucun achat n'est possible ; licences, infrastructure, temps d'intégration. Les poids ne bougeront plus ; la section 3.4 vérifie seulement ce qui se passerait s'ils changeaient.</w:t>
      </w:r>
    </w:p>
    <w:p>
      <w:pPr>
        <w:pStyle w:val="Heading2"/>
      </w:pPr>
      <w:r>
        <w:rPr>
          <w:rFonts w:ascii="Calibri" w:hAnsi="Calibri" w:eastAsia="Calibri"/>
          <w:b/>
          <w:color w:val="2F6DB3"/>
          <w:sz w:val="28"/>
        </w:rPr>
        <w:t>3.2 Quatre candidats</w:t>
      </w:r>
    </w:p>
    <w:p>
      <w:pPr>
        <w:keepNext w:val="0"/>
      </w:pPr>
      <w:r>
        <w:rPr>
          <w:b w:val="0"/>
          <w:i w:val="0"/>
        </w:rPr>
        <w:t xml:space="preserve">Quatre candidats couvrent un spectre réaliste. </w:t>
      </w:r>
      <w:r>
        <w:rPr>
          <w:b/>
          <w:i w:val="0"/>
        </w:rPr>
        <w:t>C1</w:t>
      </w:r>
      <w:r>
        <w:rPr>
          <w:b w:val="0"/>
          <w:i w:val="0"/>
        </w:rPr>
        <w:t xml:space="preserve"> est un script Python local : immédiat, sans dépendance, mais sans contrôle, sans trace et sans protocole MCP. </w:t>
      </w:r>
      <w:r>
        <w:rPr>
          <w:b/>
          <w:i w:val="0"/>
        </w:rPr>
        <w:t>C2</w:t>
      </w:r>
      <w:r>
        <w:rPr>
          <w:b w:val="0"/>
          <w:i w:val="0"/>
        </w:rPr>
        <w:t xml:space="preserve"> est une plateforme TI commerciale (MISP, OpenCTI ou équivalent) avec un connecteur MCP : riche fonctionnellement, mais les données sortent du poste, les licences et l'intégration sont lourdes. </w:t>
      </w:r>
      <w:r>
        <w:rPr>
          <w:b/>
          <w:i w:val="0"/>
        </w:rPr>
        <w:t>C3</w:t>
      </w:r>
      <w:r>
        <w:rPr>
          <w:b w:val="0"/>
          <w:i w:val="0"/>
        </w:rPr>
        <w:t xml:space="preserve"> est une passerelle MCP générique : conforme au protocole et réutilisable, mais elle ne comprend ni les étiquettes, ni les compartiments, ni le besoin d'en connaître. </w:t>
      </w:r>
      <w:r>
        <w:rPr>
          <w:b/>
          <w:i w:val="0"/>
        </w:rPr>
        <w:t>C4</w:t>
      </w:r>
      <w:r>
        <w:rPr>
          <w:b w:val="0"/>
          <w:i w:val="0"/>
        </w:rPr>
        <w:t xml:space="preserve"> est un serveur MCP dédié : stdio, six outils, ABAC, étiquettes, audit et données locales. Nous avons inclus les deux extrêmes (C1 et C2), car ce sont les choix les plus fréquents — le script dans un projet étudiant, la plateforme dans une entreprise.</w:t>
      </w:r>
    </w:p>
    <w:p>
      <w:pPr>
        <w:pStyle w:val="Heading2"/>
      </w:pPr>
      <w:r>
        <w:rPr>
          <w:rFonts w:ascii="Calibri" w:hAnsi="Calibri" w:eastAsia="Calibri"/>
          <w:b/>
          <w:color w:val="2F6DB3"/>
          <w:sz w:val="28"/>
        </w:rPr>
        <w:t>3.3 Notation pondérée et résultats</w:t>
      </w:r>
    </w:p>
    <w:p>
      <w:pPr>
        <w:keepNext w:val="0"/>
      </w:pPr>
      <w:r>
        <w:rPr>
          <w:b w:val="0"/>
          <w:i w:val="0"/>
        </w:rPr>
        <w:t>Chaque candidat reçoit une note de 1 à 5 par critère. Le score total est la somme des notes pondérées. Le tableau donne les contributions, pas seulement le total, afin que le lecteur puisse contester un point précis plutôt que le résultat global.</w:t>
      </w:r>
    </w:p>
    <w:p>
      <w:pPr>
        <w:pStyle w:val="Légende"/>
        <w:keepNext/>
      </w:pPr>
      <w:r>
        <w:rPr>
          <w:rFonts w:ascii="Calibri" w:hAnsi="Calibri" w:eastAsia="Calibri"/>
          <w:i/>
          <w:color w:val="5B6577"/>
          <w:sz w:val="18"/>
        </w:rPr>
        <w:t xml:space="preserve">Tableau </w:t>
      </w:r>
      <w:r>
        <w:fldChar w:fldCharType="begin"/>
      </w:r>
      <w:r>
        <w:instrText xml:space="preserve"> SEQ Tableau \* ARABIC </w:instrText>
      </w:r>
      <w:r>
        <w:fldChar w:fldCharType="separate"/>
      </w:r>
      <w:r>
        <w:rPr>
          <w:color w:val="5B6577"/>
          <w:sz w:val="18"/>
        </w:rPr>
        <w:t>5</w:t>
      </w:r>
      <w:r>
        <w:fldChar w:fldCharType="end"/>
      </w:r>
      <w:r>
        <w:rPr>
          <w:rFonts w:ascii="Calibri" w:hAnsi="Calibri" w:eastAsia="Calibri"/>
          <w:i/>
          <w:color w:val="5B6577"/>
          <w:sz w:val="18"/>
        </w:rPr>
        <w:t xml:space="preserve"> — Scores pondérés des quatre candidats</w:t>
      </w:r>
    </w:p>
    <w:tbl>
      <w:tblPr>
        <w:tblW w:type="auto" w:w="0"/>
        <w:jc w:val="center"/>
        <w:tblLayout w:type="fixed"/>
        <w:tblLook w:firstColumn="1" w:firstRow="1" w:lastColumn="0" w:lastRow="0" w:noHBand="0" w:noVBand="1" w:val="04A0"/>
        <w:tblCellMar>
          <w:top w:w="40" w:type="dxa"/>
          <w:left w:w="80" w:type="dxa"/>
          <w:bottom w:w="40" w:type="dxa"/>
          <w:right w:w="80" w:type="dxa"/>
        </w:tblCellMar>
      </w:tblPr>
      <w:tblGrid>
        <w:gridCol w:w="1377"/>
        <w:gridCol w:w="1377"/>
        <w:gridCol w:w="1377"/>
        <w:gridCol w:w="1377"/>
        <w:gridCol w:w="1377"/>
        <w:gridCol w:w="1377"/>
        <w:gridCol w:w="1377"/>
      </w:tblGrid>
      <w:tr>
        <w:trPr>
          <w:tblHeader w:val="true"/>
          <w:cantSplit w:val="true"/>
        </w:trPr>
        <w:tc>
          <w:tcPr>
            <w:tcW w:type="dxa" w:w="2381"/>
            <w:shd w:val="clear" w:color="auto" w:fill="10243F"/>
          </w:tcPr>
          <w:p>
            <w:pPr>
              <w:spacing w:after="0"/>
              <w:jc w:val="center"/>
            </w:pPr>
            <w:r>
              <w:rPr>
                <w:rFonts w:ascii="Calibri" w:hAnsi="Calibri" w:eastAsia="Calibri"/>
                <w:b/>
                <w:color w:val="FFFFFF"/>
                <w:sz w:val="16"/>
              </w:rPr>
              <w:t>Candidat</w:t>
            </w:r>
          </w:p>
        </w:tc>
        <w:tc>
          <w:tcPr>
            <w:tcW w:type="dxa" w:w="1134"/>
            <w:shd w:val="clear" w:color="auto" w:fill="10243F"/>
          </w:tcPr>
          <w:p>
            <w:pPr>
              <w:spacing w:after="0"/>
              <w:jc w:val="center"/>
            </w:pPr>
            <w:r>
              <w:rPr>
                <w:rFonts w:ascii="Calibri" w:hAnsi="Calibri" w:eastAsia="Calibri"/>
                <w:b/>
                <w:color w:val="FFFFFF"/>
                <w:sz w:val="16"/>
              </w:rPr>
              <w:t>Sécurité 30 %</w:t>
            </w:r>
          </w:p>
        </w:tc>
        <w:tc>
          <w:tcPr>
            <w:tcW w:type="dxa" w:w="1020"/>
            <w:shd w:val="clear" w:color="auto" w:fill="10243F"/>
          </w:tcPr>
          <w:p>
            <w:pPr>
              <w:spacing w:after="0"/>
              <w:jc w:val="center"/>
            </w:pPr>
            <w:r>
              <w:rPr>
                <w:rFonts w:ascii="Calibri" w:hAnsi="Calibri" w:eastAsia="Calibri"/>
                <w:b/>
                <w:color w:val="FFFFFF"/>
                <w:sz w:val="16"/>
              </w:rPr>
              <w:t>MCP 20 %</w:t>
            </w:r>
          </w:p>
        </w:tc>
        <w:tc>
          <w:tcPr>
            <w:tcW w:type="dxa" w:w="907"/>
            <w:shd w:val="clear" w:color="auto" w:fill="10243F"/>
          </w:tcPr>
          <w:p>
            <w:pPr>
              <w:spacing w:after="0"/>
              <w:jc w:val="center"/>
            </w:pPr>
            <w:r>
              <w:rPr>
                <w:rFonts w:ascii="Calibri" w:hAnsi="Calibri" w:eastAsia="Calibri"/>
                <w:b/>
                <w:color w:val="FFFFFF"/>
                <w:sz w:val="16"/>
              </w:rPr>
              <w:t>TI 20 %</w:t>
            </w:r>
          </w:p>
        </w:tc>
        <w:tc>
          <w:tcPr>
            <w:tcW w:type="dxa" w:w="1134"/>
            <w:shd w:val="clear" w:color="auto" w:fill="10243F"/>
          </w:tcPr>
          <w:p>
            <w:pPr>
              <w:spacing w:after="0"/>
              <w:jc w:val="center"/>
            </w:pPr>
            <w:r>
              <w:rPr>
                <w:rFonts w:ascii="Calibri" w:hAnsi="Calibri" w:eastAsia="Calibri"/>
                <w:b/>
                <w:color w:val="FFFFFF"/>
                <w:sz w:val="16"/>
              </w:rPr>
              <w:t>Maîtrise 15 %</w:t>
            </w:r>
          </w:p>
        </w:tc>
        <w:tc>
          <w:tcPr>
            <w:tcW w:type="dxa" w:w="907"/>
            <w:shd w:val="clear" w:color="auto" w:fill="10243F"/>
          </w:tcPr>
          <w:p>
            <w:pPr>
              <w:spacing w:after="0"/>
              <w:jc w:val="center"/>
            </w:pPr>
            <w:r>
              <w:rPr>
                <w:rFonts w:ascii="Calibri" w:hAnsi="Calibri" w:eastAsia="Calibri"/>
                <w:b/>
                <w:color w:val="FFFFFF"/>
                <w:sz w:val="16"/>
              </w:rPr>
              <w:t>Coût 15 %</w:t>
            </w:r>
          </w:p>
        </w:tc>
        <w:tc>
          <w:tcPr>
            <w:tcW w:type="dxa" w:w="1134"/>
            <w:shd w:val="clear" w:color="auto" w:fill="10243F"/>
          </w:tcPr>
          <w:p>
            <w:pPr>
              <w:spacing w:after="0"/>
              <w:jc w:val="center"/>
            </w:pPr>
            <w:r>
              <w:rPr>
                <w:rFonts w:ascii="Calibri" w:hAnsi="Calibri" w:eastAsia="Calibri"/>
                <w:b/>
                <w:color w:val="FFFFFF"/>
                <w:sz w:val="16"/>
              </w:rPr>
              <w:t>Total / 5</w:t>
            </w:r>
          </w:p>
        </w:tc>
      </w:tr>
      <w:tr>
        <w:trPr>
          <w:cantSplit w:val="true"/>
        </w:trPr>
        <w:tc>
          <w:tcPr>
            <w:tcW w:type="dxa" w:w="2381"/>
          </w:tcPr>
          <w:p>
            <w:pPr>
              <w:spacing w:after="0" w:line="245" w:lineRule="auto"/>
              <w:jc w:val="left"/>
            </w:pPr>
            <w:r>
              <w:rPr>
                <w:b/>
                <w:i w:val="0"/>
                <w:sz w:val="16"/>
              </w:rPr>
              <w:t>C1 — Script local naïf</w:t>
            </w:r>
          </w:p>
        </w:tc>
        <w:tc>
          <w:tcPr>
            <w:tcW w:type="dxa" w:w="1134"/>
          </w:tcPr>
          <w:p>
            <w:pPr>
              <w:spacing w:after="0" w:line="245" w:lineRule="auto"/>
              <w:jc w:val="center"/>
            </w:pPr>
            <w:r>
              <w:rPr>
                <w:b w:val="0"/>
                <w:i w:val="0"/>
                <w:sz w:val="16"/>
              </w:rPr>
              <w:t>0,15</w:t>
            </w:r>
          </w:p>
        </w:tc>
        <w:tc>
          <w:tcPr>
            <w:tcW w:type="dxa" w:w="1020"/>
          </w:tcPr>
          <w:p>
            <w:pPr>
              <w:spacing w:after="0" w:line="245" w:lineRule="auto"/>
              <w:jc w:val="center"/>
            </w:pPr>
            <w:r>
              <w:rPr>
                <w:b w:val="0"/>
                <w:i w:val="0"/>
                <w:sz w:val="16"/>
              </w:rPr>
              <w:t>0,10</w:t>
            </w:r>
          </w:p>
        </w:tc>
        <w:tc>
          <w:tcPr>
            <w:tcW w:type="dxa" w:w="907"/>
          </w:tcPr>
          <w:p>
            <w:pPr>
              <w:spacing w:after="0" w:line="245" w:lineRule="auto"/>
              <w:jc w:val="center"/>
            </w:pPr>
            <w:r>
              <w:rPr>
                <w:b w:val="0"/>
                <w:i w:val="0"/>
                <w:sz w:val="16"/>
              </w:rPr>
              <w:t>0,40</w:t>
            </w:r>
          </w:p>
        </w:tc>
        <w:tc>
          <w:tcPr>
            <w:tcW w:type="dxa" w:w="1134"/>
          </w:tcPr>
          <w:p>
            <w:pPr>
              <w:spacing w:after="0" w:line="245" w:lineRule="auto"/>
              <w:jc w:val="center"/>
            </w:pPr>
            <w:r>
              <w:rPr>
                <w:b w:val="0"/>
                <w:i w:val="0"/>
                <w:sz w:val="16"/>
              </w:rPr>
              <w:t>0,75</w:t>
            </w:r>
          </w:p>
        </w:tc>
        <w:tc>
          <w:tcPr>
            <w:tcW w:type="dxa" w:w="907"/>
          </w:tcPr>
          <w:p>
            <w:pPr>
              <w:spacing w:after="0" w:line="245" w:lineRule="auto"/>
              <w:jc w:val="center"/>
            </w:pPr>
            <w:r>
              <w:rPr>
                <w:b w:val="0"/>
                <w:i w:val="0"/>
                <w:sz w:val="16"/>
              </w:rPr>
              <w:t>0,75</w:t>
            </w:r>
          </w:p>
        </w:tc>
        <w:tc>
          <w:tcPr>
            <w:tcW w:type="dxa" w:w="1134"/>
          </w:tcPr>
          <w:p>
            <w:pPr>
              <w:spacing w:after="0" w:line="245" w:lineRule="auto"/>
              <w:jc w:val="center"/>
            </w:pPr>
            <w:r>
              <w:rPr>
                <w:b w:val="0"/>
                <w:i w:val="0"/>
                <w:sz w:val="16"/>
              </w:rPr>
              <w:t>2,15</w:t>
            </w:r>
          </w:p>
        </w:tc>
      </w:tr>
      <w:tr>
        <w:trPr>
          <w:cantSplit w:val="true"/>
        </w:trPr>
        <w:tc>
          <w:tcPr>
            <w:tcW w:type="dxa" w:w="2381"/>
            <w:shd w:val="clear" w:color="auto" w:fill="F3F6FA"/>
          </w:tcPr>
          <w:p>
            <w:pPr>
              <w:spacing w:after="0" w:line="245" w:lineRule="auto"/>
              <w:jc w:val="left"/>
            </w:pPr>
            <w:r>
              <w:rPr>
                <w:b/>
                <w:i w:val="0"/>
                <w:sz w:val="16"/>
              </w:rPr>
              <w:t>C2 — Plateforme commerciale</w:t>
            </w:r>
          </w:p>
        </w:tc>
        <w:tc>
          <w:tcPr>
            <w:tcW w:type="dxa" w:w="1134"/>
            <w:shd w:val="clear" w:color="auto" w:fill="F3F6FA"/>
          </w:tcPr>
          <w:p>
            <w:pPr>
              <w:spacing w:after="0" w:line="245" w:lineRule="auto"/>
              <w:jc w:val="center"/>
            </w:pPr>
            <w:r>
              <w:rPr>
                <w:b w:val="0"/>
                <w:i w:val="0"/>
                <w:sz w:val="16"/>
              </w:rPr>
              <w:t>1,05</w:t>
            </w:r>
          </w:p>
        </w:tc>
        <w:tc>
          <w:tcPr>
            <w:tcW w:type="dxa" w:w="1020"/>
            <w:shd w:val="clear" w:color="auto" w:fill="F3F6FA"/>
          </w:tcPr>
          <w:p>
            <w:pPr>
              <w:spacing w:after="0" w:line="245" w:lineRule="auto"/>
              <w:jc w:val="center"/>
            </w:pPr>
            <w:r>
              <w:rPr>
                <w:b w:val="0"/>
                <w:i w:val="0"/>
                <w:sz w:val="16"/>
              </w:rPr>
              <w:t>0,20</w:t>
            </w:r>
          </w:p>
        </w:tc>
        <w:tc>
          <w:tcPr>
            <w:tcW w:type="dxa" w:w="907"/>
            <w:shd w:val="clear" w:color="auto" w:fill="F3F6FA"/>
          </w:tcPr>
          <w:p>
            <w:pPr>
              <w:spacing w:after="0" w:line="245" w:lineRule="auto"/>
              <w:jc w:val="center"/>
            </w:pPr>
            <w:r>
              <w:rPr>
                <w:b w:val="0"/>
                <w:i w:val="0"/>
                <w:sz w:val="16"/>
              </w:rPr>
              <w:t>0,90</w:t>
            </w:r>
          </w:p>
        </w:tc>
        <w:tc>
          <w:tcPr>
            <w:tcW w:type="dxa" w:w="1134"/>
            <w:shd w:val="clear" w:color="auto" w:fill="F3F6FA"/>
          </w:tcPr>
          <w:p>
            <w:pPr>
              <w:spacing w:after="0" w:line="245" w:lineRule="auto"/>
              <w:jc w:val="center"/>
            </w:pPr>
            <w:r>
              <w:rPr>
                <w:b w:val="0"/>
                <w:i w:val="0"/>
                <w:sz w:val="16"/>
              </w:rPr>
              <w:t>0,30</w:t>
            </w:r>
          </w:p>
        </w:tc>
        <w:tc>
          <w:tcPr>
            <w:tcW w:type="dxa" w:w="907"/>
            <w:shd w:val="clear" w:color="auto" w:fill="F3F6FA"/>
          </w:tcPr>
          <w:p>
            <w:pPr>
              <w:spacing w:after="0" w:line="245" w:lineRule="auto"/>
              <w:jc w:val="center"/>
            </w:pPr>
            <w:r>
              <w:rPr>
                <w:b w:val="0"/>
                <w:i w:val="0"/>
                <w:sz w:val="16"/>
              </w:rPr>
              <w:t>0,23</w:t>
            </w:r>
          </w:p>
        </w:tc>
        <w:tc>
          <w:tcPr>
            <w:tcW w:type="dxa" w:w="1134"/>
            <w:shd w:val="clear" w:color="auto" w:fill="F3F6FA"/>
          </w:tcPr>
          <w:p>
            <w:pPr>
              <w:spacing w:after="0" w:line="245" w:lineRule="auto"/>
              <w:jc w:val="center"/>
            </w:pPr>
            <w:r>
              <w:rPr>
                <w:b w:val="0"/>
                <w:i w:val="0"/>
                <w:sz w:val="16"/>
              </w:rPr>
              <w:t>2,68</w:t>
            </w:r>
          </w:p>
        </w:tc>
      </w:tr>
      <w:tr>
        <w:trPr>
          <w:cantSplit w:val="true"/>
        </w:trPr>
        <w:tc>
          <w:tcPr>
            <w:tcW w:type="dxa" w:w="2381"/>
          </w:tcPr>
          <w:p>
            <w:pPr>
              <w:spacing w:after="0" w:line="245" w:lineRule="auto"/>
              <w:jc w:val="left"/>
            </w:pPr>
            <w:r>
              <w:rPr>
                <w:b/>
                <w:i w:val="0"/>
                <w:sz w:val="16"/>
              </w:rPr>
              <w:t>C3 — Passerelle MCP</w:t>
            </w:r>
          </w:p>
        </w:tc>
        <w:tc>
          <w:tcPr>
            <w:tcW w:type="dxa" w:w="1134"/>
          </w:tcPr>
          <w:p>
            <w:pPr>
              <w:spacing w:after="0" w:line="245" w:lineRule="auto"/>
              <w:jc w:val="center"/>
            </w:pPr>
            <w:r>
              <w:rPr>
                <w:b w:val="0"/>
                <w:i w:val="0"/>
                <w:sz w:val="16"/>
              </w:rPr>
              <w:t>0,90</w:t>
            </w:r>
          </w:p>
        </w:tc>
        <w:tc>
          <w:tcPr>
            <w:tcW w:type="dxa" w:w="1020"/>
          </w:tcPr>
          <w:p>
            <w:pPr>
              <w:spacing w:after="0" w:line="245" w:lineRule="auto"/>
              <w:jc w:val="center"/>
            </w:pPr>
            <w:r>
              <w:rPr>
                <w:b w:val="0"/>
                <w:i w:val="0"/>
                <w:sz w:val="16"/>
              </w:rPr>
              <w:t>0,90</w:t>
            </w:r>
          </w:p>
        </w:tc>
        <w:tc>
          <w:tcPr>
            <w:tcW w:type="dxa" w:w="907"/>
          </w:tcPr>
          <w:p>
            <w:pPr>
              <w:spacing w:after="0" w:line="245" w:lineRule="auto"/>
              <w:jc w:val="center"/>
            </w:pPr>
            <w:r>
              <w:rPr>
                <w:b w:val="0"/>
                <w:i w:val="0"/>
                <w:sz w:val="16"/>
              </w:rPr>
              <w:t>0,10</w:t>
            </w:r>
          </w:p>
        </w:tc>
        <w:tc>
          <w:tcPr>
            <w:tcW w:type="dxa" w:w="1134"/>
          </w:tcPr>
          <w:p>
            <w:pPr>
              <w:spacing w:after="0" w:line="245" w:lineRule="auto"/>
              <w:jc w:val="center"/>
            </w:pPr>
            <w:r>
              <w:rPr>
                <w:b w:val="0"/>
                <w:i w:val="0"/>
                <w:sz w:val="16"/>
              </w:rPr>
              <w:t>0,53</w:t>
            </w:r>
          </w:p>
        </w:tc>
        <w:tc>
          <w:tcPr>
            <w:tcW w:type="dxa" w:w="907"/>
          </w:tcPr>
          <w:p>
            <w:pPr>
              <w:spacing w:after="0" w:line="245" w:lineRule="auto"/>
              <w:jc w:val="center"/>
            </w:pPr>
            <w:r>
              <w:rPr>
                <w:b w:val="0"/>
                <w:i w:val="0"/>
                <w:sz w:val="16"/>
              </w:rPr>
              <w:t>0,60</w:t>
            </w:r>
          </w:p>
        </w:tc>
        <w:tc>
          <w:tcPr>
            <w:tcW w:type="dxa" w:w="1134"/>
          </w:tcPr>
          <w:p>
            <w:pPr>
              <w:spacing w:after="0" w:line="245" w:lineRule="auto"/>
              <w:jc w:val="center"/>
            </w:pPr>
            <w:r>
              <w:rPr>
                <w:b w:val="0"/>
                <w:i w:val="0"/>
                <w:sz w:val="16"/>
              </w:rPr>
              <w:t>3,03</w:t>
            </w:r>
          </w:p>
        </w:tc>
      </w:tr>
      <w:tr>
        <w:trPr>
          <w:cantSplit w:val="true"/>
        </w:trPr>
        <w:tc>
          <w:tcPr>
            <w:tcW w:type="dxa" w:w="2381"/>
            <w:shd w:val="clear" w:color="auto" w:fill="F3F6FA"/>
          </w:tcPr>
          <w:p>
            <w:pPr>
              <w:spacing w:after="0" w:line="245" w:lineRule="auto"/>
              <w:jc w:val="left"/>
            </w:pPr>
            <w:r>
              <w:rPr>
                <w:b/>
                <w:i w:val="0"/>
                <w:sz w:val="16"/>
              </w:rPr>
              <w:t>C4 — Serveur dédié (retenu)</w:t>
            </w:r>
          </w:p>
        </w:tc>
        <w:tc>
          <w:tcPr>
            <w:tcW w:type="dxa" w:w="1134"/>
            <w:shd w:val="clear" w:color="auto" w:fill="F3F6FA"/>
          </w:tcPr>
          <w:p>
            <w:pPr>
              <w:spacing w:after="0" w:line="245" w:lineRule="auto"/>
              <w:jc w:val="center"/>
            </w:pPr>
            <w:r>
              <w:rPr>
                <w:b w:val="0"/>
                <w:i w:val="0"/>
                <w:sz w:val="16"/>
              </w:rPr>
              <w:t>1,35</w:t>
            </w:r>
          </w:p>
        </w:tc>
        <w:tc>
          <w:tcPr>
            <w:tcW w:type="dxa" w:w="1020"/>
            <w:shd w:val="clear" w:color="auto" w:fill="F3F6FA"/>
          </w:tcPr>
          <w:p>
            <w:pPr>
              <w:spacing w:after="0" w:line="245" w:lineRule="auto"/>
              <w:jc w:val="center"/>
            </w:pPr>
            <w:r>
              <w:rPr>
                <w:b w:val="0"/>
                <w:i w:val="0"/>
                <w:sz w:val="16"/>
              </w:rPr>
              <w:t>0,90</w:t>
            </w:r>
          </w:p>
        </w:tc>
        <w:tc>
          <w:tcPr>
            <w:tcW w:type="dxa" w:w="907"/>
            <w:shd w:val="clear" w:color="auto" w:fill="F3F6FA"/>
          </w:tcPr>
          <w:p>
            <w:pPr>
              <w:spacing w:after="0" w:line="245" w:lineRule="auto"/>
              <w:jc w:val="center"/>
            </w:pPr>
            <w:r>
              <w:rPr>
                <w:b w:val="0"/>
                <w:i w:val="0"/>
                <w:sz w:val="16"/>
              </w:rPr>
              <w:t>0,80</w:t>
            </w:r>
          </w:p>
        </w:tc>
        <w:tc>
          <w:tcPr>
            <w:tcW w:type="dxa" w:w="1134"/>
            <w:shd w:val="clear" w:color="auto" w:fill="F3F6FA"/>
          </w:tcPr>
          <w:p>
            <w:pPr>
              <w:spacing w:after="0" w:line="245" w:lineRule="auto"/>
              <w:jc w:val="center"/>
            </w:pPr>
            <w:r>
              <w:rPr>
                <w:b w:val="0"/>
                <w:i w:val="0"/>
                <w:sz w:val="16"/>
              </w:rPr>
              <w:t>0,68</w:t>
            </w:r>
          </w:p>
        </w:tc>
        <w:tc>
          <w:tcPr>
            <w:tcW w:type="dxa" w:w="907"/>
            <w:shd w:val="clear" w:color="auto" w:fill="F3F6FA"/>
          </w:tcPr>
          <w:p>
            <w:pPr>
              <w:spacing w:after="0" w:line="245" w:lineRule="auto"/>
              <w:jc w:val="center"/>
            </w:pPr>
            <w:r>
              <w:rPr>
                <w:b w:val="0"/>
                <w:i w:val="0"/>
                <w:sz w:val="16"/>
              </w:rPr>
              <w:t>0,45</w:t>
            </w:r>
          </w:p>
        </w:tc>
        <w:tc>
          <w:tcPr>
            <w:tcW w:type="dxa" w:w="1134"/>
            <w:shd w:val="clear" w:color="auto" w:fill="F3F6FA"/>
          </w:tcPr>
          <w:p>
            <w:pPr>
              <w:spacing w:after="0" w:line="245" w:lineRule="auto"/>
              <w:jc w:val="center"/>
            </w:pPr>
            <w:r>
              <w:rPr>
                <w:b w:val="0"/>
                <w:i w:val="0"/>
                <w:sz w:val="16"/>
              </w:rPr>
              <w:t>4,18</w:t>
            </w:r>
          </w:p>
        </w:tc>
      </w:tr>
    </w:tbl>
    <w:p>
      <w:pPr>
        <w:pStyle w:val="Source"/>
      </w:pPr>
      <w:r>
        <w:rPr>
          <w:rFonts w:ascii="Calibri" w:hAnsi="Calibri" w:eastAsia="Calibri"/>
          <w:i/>
          <w:color w:val="5B6577"/>
          <w:sz w:val="16"/>
        </w:rPr>
        <w:t>Source : notation assumée sur une échelle de 1 à 5 ; les notes brutes sont visibles dans le graphique.</w:t>
      </w:r>
    </w:p>
    <w:p>
      <w:pPr>
        <w:keepNext/>
        <w:spacing w:before="100" w:after="40"/>
        <w:jc w:val="center"/>
      </w:pPr>
      <w:r>
        <w:drawing>
          <wp:inline xmlns:a="http://schemas.openxmlformats.org/drawingml/2006/main" xmlns:pic="http://schemas.openxmlformats.org/drawingml/2006/picture">
            <wp:extent cx="5832000" cy="3089789"/>
            <wp:docPr id="2" name="Picture 2"/>
            <wp:cNvGraphicFramePr>
              <a:graphicFrameLocks noChangeAspect="1"/>
            </wp:cNvGraphicFramePr>
            <a:graphic>
              <a:graphicData uri="http://schemas.openxmlformats.org/drawingml/2006/picture">
                <pic:pic>
                  <pic:nvPicPr>
                    <pic:cNvPr id="0" name="fig_comparatif.png"/>
                    <pic:cNvPicPr/>
                  </pic:nvPicPr>
                  <pic:blipFill>
                    <a:blip r:embed="rId14"/>
                    <a:stretch>
                      <a:fillRect/>
                    </a:stretch>
                  </pic:blipFill>
                  <pic:spPr>
                    <a:xfrm>
                      <a:off x="0" y="0"/>
                      <a:ext cx="5832000" cy="3089789"/>
                    </a:xfrm>
                    <a:prstGeom prst="rect"/>
                    <a:ln w="9525">
                      <a:solidFill>
                        <a:srgbClr val="C9CED6"/>
                      </a:solidFill>
                    </a:ln>
                  </pic:spPr>
                </pic:pic>
              </a:graphicData>
            </a:graphic>
          </wp:inline>
        </w:drawing>
      </w:r>
    </w:p>
    <w:p>
      <w:pPr>
        <w:pStyle w:val="Légende"/>
        <w:keepNext/>
      </w:pPr>
      <w:r>
        <w:rPr>
          <w:rFonts w:ascii="Calibri" w:hAnsi="Calibri" w:eastAsia="Calibri"/>
          <w:i/>
          <w:color w:val="5B6577"/>
          <w:sz w:val="18"/>
        </w:rPr>
        <w:t xml:space="preserve">Figure </w:t>
      </w:r>
      <w:r>
        <w:fldChar w:fldCharType="begin"/>
      </w:r>
      <w:r>
        <w:instrText xml:space="preserve"> SEQ Figure \* ARABIC </w:instrText>
      </w:r>
      <w:r>
        <w:fldChar w:fldCharType="separate"/>
      </w:r>
      <w:r>
        <w:rPr>
          <w:color w:val="5B6577"/>
          <w:sz w:val="18"/>
        </w:rPr>
        <w:t>1</w:t>
      </w:r>
      <w:r>
        <w:fldChar w:fldCharType="end"/>
      </w:r>
      <w:r>
        <w:rPr>
          <w:rFonts w:ascii="Calibri" w:hAnsi="Calibri" w:eastAsia="Calibri"/>
          <w:i/>
          <w:color w:val="5B6577"/>
          <w:sz w:val="18"/>
        </w:rPr>
        <w:t xml:space="preserve"> — Comparatif pondéré : contribution de chaque critère au score total</w:t>
      </w:r>
    </w:p>
    <w:p>
      <w:pPr>
        <w:pStyle w:val="Source"/>
      </w:pPr>
      <w:r>
        <w:rPr>
          <w:rFonts w:ascii="Calibri" w:hAnsi="Calibri" w:eastAsia="Calibri"/>
          <w:i/>
          <w:color w:val="5B6577"/>
          <w:sz w:val="16"/>
        </w:rPr>
        <w:t>Source : mêmes notes que la notation ci-dessus ; C4 est retenu avec 4,18 / 5.</w:t>
      </w:r>
    </w:p>
    <w:p>
      <w:pPr>
        <w:pStyle w:val="Heading2"/>
      </w:pPr>
      <w:r>
        <w:rPr>
          <w:rFonts w:ascii="Calibri" w:hAnsi="Calibri" w:eastAsia="Calibri"/>
          <w:b/>
          <w:color w:val="2F6DB3"/>
          <w:sz w:val="28"/>
        </w:rPr>
        <w:t>3.4 Décision, sensibilité et candidat le plus répandu</w:t>
      </w:r>
    </w:p>
    <w:p>
      <w:pPr>
        <w:keepNext w:val="0"/>
      </w:pPr>
      <w:r>
        <w:rPr>
          <w:b w:val="0"/>
          <w:i w:val="0"/>
        </w:rPr>
        <w:t xml:space="preserve">Le serveur dédié (C4) arrive en tête avec </w:t>
      </w:r>
      <w:r>
        <w:rPr>
          <w:b/>
          <w:i w:val="0"/>
        </w:rPr>
        <w:t>4,18 / 5</w:t>
      </w:r>
      <w:r>
        <w:rPr>
          <w:b w:val="0"/>
          <w:i w:val="0"/>
        </w:rPr>
        <w:t>, devant la passerelle MCP (3,03), la plateforme commerciale (2,68) et le script naïf (2,15). Le résultat ne repose pas sur un seul critère : C4 gagne parce qu'il est le seul à cumuler une sécurité démontrable, une conformité MCP native et une autonomie locale. La passerelle est meilleure que C4 sur le coût, mais elle ne comprend pas les étiquettes ; la plateforme est meilleure sur la richesse fonctionnelle, mais elle expose les données et coûte cher ; le script est le plus rapide à écrire, mais il ne protège rien.</w:t>
      </w:r>
    </w:p>
    <w:p>
      <w:pPr>
        <w:keepNext w:val="0"/>
      </w:pPr>
      <w:r>
        <w:rPr>
          <w:b w:val="0"/>
          <w:i w:val="0"/>
        </w:rPr>
        <w:t>Nous avons testé la sensibilité du classement à deux variantes : sécurité portée à 40 % (MCP 15 %, TI 15 %, maîtrise 15 %, coût 15 %) et coût porté à 40 % (sécurité 20 %, MCP 15 %, TI 15 %, maîtrise 10 %). Dans les deux cas, C4 reste premier (4,20 / 5 et 3,83 / 5). Le classement est donc robuste aux deux critiques les plus prévisibles : « vous privilégiez la sécurité » et « vous sous-estimez le coût ».</w:t>
      </w:r>
    </w:p>
    <w:p>
      <w:pPr>
        <w:keepNext w:val="0"/>
      </w:pPr>
      <w:r>
        <w:rPr>
          <w:b w:val="0"/>
          <w:i w:val="0"/>
        </w:rPr>
        <w:t xml:space="preserve">Le candidat </w:t>
      </w:r>
      <w:r>
        <w:rPr>
          <w:b/>
          <w:i w:val="0"/>
        </w:rPr>
        <w:t>le plus répandu</w:t>
      </w:r>
      <w:r>
        <w:rPr>
          <w:b w:val="0"/>
          <w:i w:val="0"/>
        </w:rPr>
        <w:t xml:space="preserve"> mérite une explication séparée. Dans un projet étudiant, le plus fréquent est C1 : un script local, immédiat, sans dépendance. Nous l'excluons parce qu'il ne peut pas démontrer la protection du secret : il n'a ni jeton, ni étiquette, ni journal, et il livre le canari en clair. Dans l'industrie, le plus fréquent est C2 : une plateforme TI éprouvée, avec un connecteur. Nous l'excluons pour trois raisons : les données sortent du poste, l'intégration dépasse le temps disponible et la démonstration hors ligne devient impossible. Ce n'est pas un jugement sur ces solutions en production ; c'est un jugement sur leur adéquation au périmètre et aux contraintes de ce projet.</w:t>
      </w:r>
    </w:p>
    <w:tbl>
      <w:tblPr>
        <w:tblW w:type="auto" w:w="0"/>
        <w:jc w:val="center"/>
        <w:tblLayout w:type="fixed"/>
        <w:tblLook w:firstColumn="1" w:firstRow="1" w:lastColumn="0" w:lastRow="0" w:noHBand="0" w:noVBand="1" w:val="04A0"/>
        <w:tblCellMar>
          <w:top w:w="90" w:type="dxa"/>
          <w:left w:w="140" w:type="dxa"/>
          <w:bottom w:w="90" w:type="dxa"/>
          <w:right w:w="140" w:type="dxa"/>
        </w:tblCellMar>
      </w:tblPr>
      <w:tblGrid>
        <w:gridCol w:w="9638"/>
      </w:tblGrid>
      <w:tr>
        <w:tc>
          <w:tcPr>
            <w:tcW w:type="dxa" w:w="9411"/>
            <w:shd w:val="clear" w:color="auto" w:fill="EEF4FB"/>
            <w:tcBorders>
              <w:top w:val="nil"/>
              <w:bottom w:val="nil"/>
              <w:right w:val="nil"/>
              <w:left w:val="single" w:sz="18" w:color="2F6DB3"/>
            </w:tcBorders>
          </w:tcPr>
          <w:p>
            <w:pPr>
              <w:spacing w:after="40"/>
            </w:pPr>
            <w:r>
              <w:rPr>
                <w:rFonts w:ascii="Calibri" w:hAnsi="Calibri" w:eastAsia="Calibri"/>
                <w:b/>
                <w:color w:val="10243F"/>
                <w:sz w:val="19"/>
              </w:rPr>
              <w:t>Décision assumée</w:t>
            </w:r>
          </w:p>
          <w:p>
            <w:pPr>
              <w:spacing w:after="0"/>
            </w:pPr>
            <w:r>
              <w:rPr>
                <w:b w:val="0"/>
                <w:i w:val="0"/>
                <w:sz w:val="19"/>
              </w:rPr>
              <w:t>Nous retenons C4 : un serveur MCP dédié, local, en bibliothèque standard, avec six outils en lecture seule, une politique ABAC, des étiquettes, un journal chaîné et une campagne de tests. Les notes sont des jugements argumentés, pas des mesures ; la sensibilité du classement est explicitée ci-dessus.</w:t>
            </w:r>
          </w:p>
        </w:tc>
      </w:tr>
    </w:tbl>
    <w:p>
      <w:pPr>
        <w:pStyle w:val="Heading1"/>
        <w:pageBreakBefore/>
      </w:pPr>
      <w:r>
        <w:rPr>
          <w:rFonts w:ascii="Calibri" w:hAnsi="Calibri" w:eastAsia="Calibri"/>
          <w:b/>
          <w:color w:val="10243F"/>
          <w:sz w:val="34"/>
        </w:rPr>
        <w:t>4. P3 — Architecture et points de contrôle</w:t>
      </w:r>
    </w:p>
    <w:p>
      <w:pPr>
        <w:keepNext w:val="0"/>
      </w:pPr>
      <w:r>
        <w:rPr>
          <w:b w:val="0"/>
          <w:i w:val="0"/>
        </w:rPr>
        <w:t>L'architecture répond à une question simple : où peut-on perdre le secret, et où le empêche-t-on ? Nous avons organisé le système en trois zones de confiance et un flux partenaire non fiable, puis placé huit points de contrôle sur les frontières. Le client ne parle jamais directement aux données ; le serveur ne sort jamais du poste ; tout ce qui entre ou sort passe par un point nommé.</w:t>
      </w:r>
    </w:p>
    <w:p>
      <w:pPr>
        <w:pStyle w:val="Heading2"/>
      </w:pPr>
      <w:r>
        <w:rPr>
          <w:rFonts w:ascii="Calibri" w:hAnsi="Calibri" w:eastAsia="Calibri"/>
          <w:b/>
          <w:color w:val="2F6DB3"/>
          <w:sz w:val="28"/>
        </w:rPr>
        <w:t>4.1 Trois zones de confiance et un flux non fiable</w:t>
      </w:r>
    </w:p>
    <w:p>
      <w:pPr>
        <w:keepNext w:val="0"/>
      </w:pPr>
      <w:r>
        <w:rPr>
          <w:b w:val="0"/>
          <w:i w:val="0"/>
        </w:rPr>
        <w:t>La zone 0 est le poste de l'analyste : l'agent LLM, le client MCP, le jeton et l'attestation de posture. La zone 1 est le processus serveur, exécuté sans privilège : authentification, décision, outils, assainissement, enveloppe, limiteur et journal. La zone 2 contient les actifs : base SQLite en lecture seule, clé de signature, journal. La zone 3 est le flux partenaire : un contenu non fiable, ingéré hors ligne, validé et neutralisé avant stockage. Cette séparation est volontairement simple : trois zones tiennent sur une diapositive et se vérifient sur le poste.</w:t>
      </w:r>
    </w:p>
    <w:p>
      <w:pPr>
        <w:keepNext/>
        <w:spacing w:before="100" w:after="40"/>
        <w:jc w:val="center"/>
      </w:pPr>
      <w:r>
        <w:drawing>
          <wp:inline xmlns:a="http://schemas.openxmlformats.org/drawingml/2006/main" xmlns:pic="http://schemas.openxmlformats.org/drawingml/2006/picture">
            <wp:extent cx="5976000" cy="3629624"/>
            <wp:docPr id="3" name="Picture 3"/>
            <wp:cNvGraphicFramePr>
              <a:graphicFrameLocks noChangeAspect="1"/>
            </wp:cNvGraphicFramePr>
            <a:graphic>
              <a:graphicData uri="http://schemas.openxmlformats.org/drawingml/2006/picture">
                <pic:pic>
                  <pic:nvPicPr>
                    <pic:cNvPr id="0" name="fig_architecture_zones.png"/>
                    <pic:cNvPicPr/>
                  </pic:nvPicPr>
                  <pic:blipFill>
                    <a:blip r:embed="rId15"/>
                    <a:stretch>
                      <a:fillRect/>
                    </a:stretch>
                  </pic:blipFill>
                  <pic:spPr>
                    <a:xfrm>
                      <a:off x="0" y="0"/>
                      <a:ext cx="5976000" cy="3629624"/>
                    </a:xfrm>
                    <a:prstGeom prst="rect"/>
                    <a:ln w="9525">
                      <a:solidFill>
                        <a:srgbClr val="C9CED6"/>
                      </a:solidFill>
                    </a:ln>
                  </pic:spPr>
                </pic:pic>
              </a:graphicData>
            </a:graphic>
          </wp:inline>
        </w:drawing>
      </w:r>
    </w:p>
    <w:p>
      <w:pPr>
        <w:pStyle w:val="Légende"/>
        <w:keepNext/>
      </w:pPr>
      <w:r>
        <w:rPr>
          <w:rFonts w:ascii="Calibri" w:hAnsi="Calibri" w:eastAsia="Calibri"/>
          <w:i/>
          <w:color w:val="5B6577"/>
          <w:sz w:val="18"/>
        </w:rPr>
        <w:t xml:space="preserve">Figure </w:t>
      </w:r>
      <w:r>
        <w:fldChar w:fldCharType="begin"/>
      </w:r>
      <w:r>
        <w:instrText xml:space="preserve"> SEQ Figure \* ARABIC </w:instrText>
      </w:r>
      <w:r>
        <w:fldChar w:fldCharType="separate"/>
      </w:r>
      <w:r>
        <w:rPr>
          <w:color w:val="5B6577"/>
          <w:sz w:val="18"/>
        </w:rPr>
        <w:t>2</w:t>
      </w:r>
      <w:r>
        <w:fldChar w:fldCharType="end"/>
      </w:r>
      <w:r>
        <w:rPr>
          <w:rFonts w:ascii="Calibri" w:hAnsi="Calibri" w:eastAsia="Calibri"/>
          <w:i/>
          <w:color w:val="5B6577"/>
          <w:sz w:val="18"/>
        </w:rPr>
        <w:t xml:space="preserve"> — Architecture en zones de confiance, circulation des requêtes et huit points de contrôle</w:t>
      </w:r>
    </w:p>
    <w:p>
      <w:pPr>
        <w:pStyle w:val="Source"/>
      </w:pPr>
      <w:r>
        <w:rPr>
          <w:rFonts w:ascii="Calibri" w:hAnsi="Calibri" w:eastAsia="Calibri"/>
          <w:i/>
          <w:color w:val="5B6577"/>
          <w:sz w:val="16"/>
        </w:rPr>
        <w:t>Source : conception du projet ; CP1 à CP8 sont détaillés au §4.4.</w:t>
      </w:r>
    </w:p>
    <w:p>
      <w:pPr>
        <w:keepNext w:val="0"/>
      </w:pPr>
      <w:r>
        <w:rPr>
          <w:b w:val="0"/>
          <w:i w:val="0"/>
        </w:rPr>
        <w:t>Deux flèches méritent d'être lues ensemble. La flèche « requête / réponse » traverse la frontière de la zone 0 vers la zone 1 : c'est le seul canal d'entrée. La flèche « lecture filtrée » va de la zone 1 vers la zone 2 : elle est en lecture seule et passe par CP8. Il n'existe aucune flèche directe de la zone 0 vers la zone 2. C'est cette absence qui rend la compromission du client insuffisante, à elle seule, pour lire la base.</w:t>
      </w:r>
    </w:p>
    <w:p>
      <w:pPr>
        <w:pStyle w:val="Heading2"/>
      </w:pPr>
      <w:r>
        <w:rPr>
          <w:rFonts w:ascii="Calibri" w:hAnsi="Calibri" w:eastAsia="Calibri"/>
          <w:b/>
          <w:color w:val="2F6DB3"/>
          <w:sz w:val="28"/>
        </w:rPr>
        <w:t>4.2 Circulation des étiquettes</w:t>
      </w:r>
    </w:p>
    <w:p>
      <w:pPr>
        <w:keepNext w:val="0"/>
      </w:pPr>
      <w:r>
        <w:rPr>
          <w:b w:val="0"/>
          <w:i w:val="0"/>
        </w:rPr>
        <w:t xml:space="preserve">Une étiquette n'est pas un commentaire : c'est une donnée qui voyage avec la réponse et qui détermine ce que le client a le droit d'en faire. Nous utilisons un triplet </w:t>
      </w:r>
      <w:r>
        <w:rPr>
          <w:b/>
          <w:i w:val="0"/>
        </w:rPr>
        <w:t>(niveau, TLP, compartiments)</w:t>
      </w:r>
      <w:r>
        <w:rPr>
          <w:b w:val="0"/>
          <w:i w:val="0"/>
        </w:rPr>
        <w:t>. Le niveau va de 0 à 3 ; le TLP reprend CLEAR, GREEN, AMBER et RED ; les compartiments sont des ensembles de besoins d'en connaître (CTI, CRYPTO, ATTRIB, INC-2026-014). Une réponse prend le niveau maximal des documents qu'elle contient, et elle ajoute une mention de manipulation.</w:t>
      </w:r>
    </w:p>
    <w:p>
      <w:pPr>
        <w:pStyle w:val="Légende"/>
        <w:keepNext/>
      </w:pPr>
      <w:r>
        <w:rPr>
          <w:rFonts w:ascii="Calibri" w:hAnsi="Calibri" w:eastAsia="Calibri"/>
          <w:i/>
          <w:color w:val="5B6577"/>
          <w:sz w:val="18"/>
        </w:rPr>
        <w:t xml:space="preserve">Tableau </w:t>
      </w:r>
      <w:r>
        <w:fldChar w:fldCharType="begin"/>
      </w:r>
      <w:r>
        <w:instrText xml:space="preserve"> SEQ Tableau \* ARABIC </w:instrText>
      </w:r>
      <w:r>
        <w:fldChar w:fldCharType="separate"/>
      </w:r>
      <w:r>
        <w:rPr>
          <w:color w:val="5B6577"/>
          <w:sz w:val="18"/>
        </w:rPr>
        <w:t>6</w:t>
      </w:r>
      <w:r>
        <w:fldChar w:fldCharType="end"/>
      </w:r>
      <w:r>
        <w:rPr>
          <w:rFonts w:ascii="Calibri" w:hAnsi="Calibri" w:eastAsia="Calibri"/>
          <w:i/>
          <w:color w:val="5B6577"/>
          <w:sz w:val="18"/>
        </w:rPr>
        <w:t xml:space="preserve"> — Niveaux, TLP et mentions de manipulation</w:t>
      </w:r>
    </w:p>
    <w:tbl>
      <w:tblPr>
        <w:tblW w:type="auto" w:w="0"/>
        <w:jc w:val="center"/>
        <w:tblLayout w:type="fixed"/>
        <w:tblLook w:firstColumn="1" w:firstRow="1" w:lastColumn="0" w:lastRow="0" w:noHBand="0" w:noVBand="1" w:val="04A0"/>
        <w:tblCellMar>
          <w:top w:w="40" w:type="dxa"/>
          <w:left w:w="80" w:type="dxa"/>
          <w:bottom w:w="40" w:type="dxa"/>
          <w:right w:w="80" w:type="dxa"/>
        </w:tblCellMar>
      </w:tblPr>
      <w:tblGrid>
        <w:gridCol w:w="1928"/>
        <w:gridCol w:w="1928"/>
        <w:gridCol w:w="1928"/>
        <w:gridCol w:w="1928"/>
        <w:gridCol w:w="1928"/>
      </w:tblGrid>
      <w:tr>
        <w:trPr>
          <w:tblHeader w:val="true"/>
          <w:cantSplit w:val="true"/>
        </w:trPr>
        <w:tc>
          <w:tcPr>
            <w:tcW w:type="dxa" w:w="794"/>
            <w:shd w:val="clear" w:color="auto" w:fill="10243F"/>
          </w:tcPr>
          <w:p>
            <w:pPr>
              <w:spacing w:after="0"/>
              <w:jc w:val="center"/>
            </w:pPr>
            <w:r>
              <w:rPr>
                <w:rFonts w:ascii="Calibri" w:hAnsi="Calibri" w:eastAsia="Calibri"/>
                <w:b/>
                <w:color w:val="FFFFFF"/>
                <w:sz w:val="16"/>
              </w:rPr>
              <w:t>Niveau</w:t>
            </w:r>
          </w:p>
        </w:tc>
        <w:tc>
          <w:tcPr>
            <w:tcW w:type="dxa" w:w="1474"/>
            <w:shd w:val="clear" w:color="auto" w:fill="10243F"/>
          </w:tcPr>
          <w:p>
            <w:pPr>
              <w:spacing w:after="0"/>
              <w:jc w:val="center"/>
            </w:pPr>
            <w:r>
              <w:rPr>
                <w:rFonts w:ascii="Calibri" w:hAnsi="Calibri" w:eastAsia="Calibri"/>
                <w:b/>
                <w:color w:val="FFFFFF"/>
                <w:sz w:val="16"/>
              </w:rPr>
              <w:t>Nom</w:t>
            </w:r>
          </w:p>
        </w:tc>
        <w:tc>
          <w:tcPr>
            <w:tcW w:type="dxa" w:w="1587"/>
            <w:shd w:val="clear" w:color="auto" w:fill="10243F"/>
          </w:tcPr>
          <w:p>
            <w:pPr>
              <w:spacing w:after="0"/>
              <w:jc w:val="center"/>
            </w:pPr>
            <w:r>
              <w:rPr>
                <w:rFonts w:ascii="Calibri" w:hAnsi="Calibri" w:eastAsia="Calibri"/>
                <w:b/>
                <w:color w:val="FFFFFF"/>
                <w:sz w:val="16"/>
              </w:rPr>
              <w:t>TLP associé</w:t>
            </w:r>
          </w:p>
        </w:tc>
        <w:tc>
          <w:tcPr>
            <w:tcW w:type="dxa" w:w="3515"/>
            <w:shd w:val="clear" w:color="auto" w:fill="10243F"/>
          </w:tcPr>
          <w:p>
            <w:pPr>
              <w:spacing w:after="0"/>
              <w:jc w:val="center"/>
            </w:pPr>
            <w:r>
              <w:rPr>
                <w:rFonts w:ascii="Calibri" w:hAnsi="Calibri" w:eastAsia="Calibri"/>
                <w:b/>
                <w:color w:val="FFFFFF"/>
                <w:sz w:val="16"/>
              </w:rPr>
              <w:t>Mention de manipulation</w:t>
            </w:r>
          </w:p>
        </w:tc>
        <w:tc>
          <w:tcPr>
            <w:tcW w:type="dxa" w:w="2268"/>
            <w:shd w:val="clear" w:color="auto" w:fill="10243F"/>
          </w:tcPr>
          <w:p>
            <w:pPr>
              <w:spacing w:after="0"/>
              <w:jc w:val="center"/>
            </w:pPr>
            <w:r>
              <w:rPr>
                <w:rFonts w:ascii="Calibri" w:hAnsi="Calibri" w:eastAsia="Calibri"/>
                <w:b/>
                <w:color w:val="FFFFFF"/>
                <w:sz w:val="16"/>
              </w:rPr>
              <w:t>Exemple</w:t>
            </w:r>
          </w:p>
        </w:tc>
      </w:tr>
      <w:tr>
        <w:trPr>
          <w:cantSplit w:val="true"/>
        </w:trPr>
        <w:tc>
          <w:tcPr>
            <w:tcW w:type="dxa" w:w="794"/>
          </w:tcPr>
          <w:p>
            <w:pPr>
              <w:spacing w:after="0" w:line="245" w:lineRule="auto"/>
              <w:jc w:val="center"/>
            </w:pPr>
            <w:r>
              <w:rPr>
                <w:b/>
                <w:i w:val="0"/>
                <w:sz w:val="16"/>
              </w:rPr>
              <w:t>0</w:t>
            </w:r>
          </w:p>
        </w:tc>
        <w:tc>
          <w:tcPr>
            <w:tcW w:type="dxa" w:w="1474"/>
          </w:tcPr>
          <w:p>
            <w:pPr>
              <w:spacing w:after="0" w:line="245" w:lineRule="auto"/>
              <w:jc w:val="left"/>
            </w:pPr>
            <w:r>
              <w:rPr>
                <w:b w:val="0"/>
                <w:i w:val="0"/>
                <w:sz w:val="16"/>
              </w:rPr>
              <w:t>Public</w:t>
            </w:r>
          </w:p>
        </w:tc>
        <w:tc>
          <w:tcPr>
            <w:tcW w:type="dxa" w:w="1587"/>
          </w:tcPr>
          <w:p>
            <w:pPr>
              <w:spacing w:after="0" w:line="245" w:lineRule="auto"/>
              <w:jc w:val="left"/>
            </w:pPr>
            <w:r>
              <w:rPr>
                <w:b w:val="0"/>
                <w:i w:val="0"/>
                <w:sz w:val="16"/>
              </w:rPr>
              <w:t>TLP:CLEAR</w:t>
            </w:r>
          </w:p>
        </w:tc>
        <w:tc>
          <w:tcPr>
            <w:tcW w:type="dxa" w:w="3515"/>
          </w:tcPr>
          <w:p>
            <w:pPr>
              <w:spacing w:after="0" w:line="245" w:lineRule="auto"/>
              <w:jc w:val="left"/>
            </w:pPr>
            <w:r>
              <w:rPr>
                <w:b w:val="0"/>
                <w:i w:val="0"/>
                <w:sz w:val="16"/>
              </w:rPr>
              <w:t>Diffusion libre après validation.</w:t>
            </w:r>
          </w:p>
        </w:tc>
        <w:tc>
          <w:tcPr>
            <w:tcW w:type="dxa" w:w="2268"/>
          </w:tcPr>
          <w:p>
            <w:pPr>
              <w:spacing w:after="0" w:line="245" w:lineRule="auto"/>
              <w:jc w:val="left"/>
            </w:pPr>
            <w:r>
              <w:rPr>
                <w:b w:val="0"/>
                <w:i w:val="0"/>
                <w:sz w:val="16"/>
              </w:rPr>
              <w:t>Bulletin de sensibilisation.</w:t>
            </w:r>
          </w:p>
        </w:tc>
      </w:tr>
      <w:tr>
        <w:trPr>
          <w:cantSplit w:val="true"/>
        </w:trPr>
        <w:tc>
          <w:tcPr>
            <w:tcW w:type="dxa" w:w="794"/>
            <w:shd w:val="clear" w:color="auto" w:fill="F3F6FA"/>
          </w:tcPr>
          <w:p>
            <w:pPr>
              <w:spacing w:after="0" w:line="245" w:lineRule="auto"/>
              <w:jc w:val="center"/>
            </w:pPr>
            <w:r>
              <w:rPr>
                <w:b/>
                <w:i w:val="0"/>
                <w:sz w:val="16"/>
              </w:rPr>
              <w:t>1</w:t>
            </w:r>
          </w:p>
        </w:tc>
        <w:tc>
          <w:tcPr>
            <w:tcW w:type="dxa" w:w="1474"/>
            <w:shd w:val="clear" w:color="auto" w:fill="F3F6FA"/>
          </w:tcPr>
          <w:p>
            <w:pPr>
              <w:spacing w:after="0" w:line="245" w:lineRule="auto"/>
              <w:jc w:val="left"/>
            </w:pPr>
            <w:r>
              <w:rPr>
                <w:b w:val="0"/>
                <w:i w:val="0"/>
                <w:sz w:val="16"/>
              </w:rPr>
              <w:t>Interne</w:t>
            </w:r>
          </w:p>
        </w:tc>
        <w:tc>
          <w:tcPr>
            <w:tcW w:type="dxa" w:w="1587"/>
            <w:shd w:val="clear" w:color="auto" w:fill="F3F6FA"/>
          </w:tcPr>
          <w:p>
            <w:pPr>
              <w:spacing w:after="0" w:line="245" w:lineRule="auto"/>
              <w:jc w:val="left"/>
            </w:pPr>
            <w:r>
              <w:rPr>
                <w:b w:val="0"/>
                <w:i w:val="0"/>
                <w:sz w:val="16"/>
              </w:rPr>
              <w:t>TLP:GREEN</w:t>
            </w:r>
          </w:p>
        </w:tc>
        <w:tc>
          <w:tcPr>
            <w:tcW w:type="dxa" w:w="3515"/>
            <w:shd w:val="clear" w:color="auto" w:fill="F3F6FA"/>
          </w:tcPr>
          <w:p>
            <w:pPr>
              <w:spacing w:after="0" w:line="245" w:lineRule="auto"/>
              <w:jc w:val="left"/>
            </w:pPr>
            <w:r>
              <w:rPr>
                <w:b w:val="0"/>
                <w:i w:val="0"/>
                <w:sz w:val="16"/>
              </w:rPr>
              <w:t>Usage interne au laboratoire.</w:t>
            </w:r>
          </w:p>
        </w:tc>
        <w:tc>
          <w:tcPr>
            <w:tcW w:type="dxa" w:w="2268"/>
            <w:shd w:val="clear" w:color="auto" w:fill="F3F6FA"/>
          </w:tcPr>
          <w:p>
            <w:pPr>
              <w:spacing w:after="0" w:line="245" w:lineRule="auto"/>
              <w:jc w:val="left"/>
            </w:pPr>
            <w:r>
              <w:rPr>
                <w:b w:val="0"/>
                <w:i w:val="0"/>
                <w:sz w:val="16"/>
              </w:rPr>
              <w:t>Indicateurs de famille.</w:t>
            </w:r>
          </w:p>
        </w:tc>
      </w:tr>
      <w:tr>
        <w:trPr>
          <w:cantSplit w:val="true"/>
        </w:trPr>
        <w:tc>
          <w:tcPr>
            <w:tcW w:type="dxa" w:w="794"/>
          </w:tcPr>
          <w:p>
            <w:pPr>
              <w:spacing w:after="0" w:line="245" w:lineRule="auto"/>
              <w:jc w:val="center"/>
            </w:pPr>
            <w:r>
              <w:rPr>
                <w:b/>
                <w:i w:val="0"/>
                <w:sz w:val="16"/>
              </w:rPr>
              <w:t>2</w:t>
            </w:r>
          </w:p>
        </w:tc>
        <w:tc>
          <w:tcPr>
            <w:tcW w:type="dxa" w:w="1474"/>
          </w:tcPr>
          <w:p>
            <w:pPr>
              <w:spacing w:after="0" w:line="245" w:lineRule="auto"/>
              <w:jc w:val="left"/>
            </w:pPr>
            <w:r>
              <w:rPr>
                <w:b w:val="0"/>
                <w:i w:val="0"/>
                <w:sz w:val="16"/>
              </w:rPr>
              <w:t>Confidentiel</w:t>
            </w:r>
          </w:p>
        </w:tc>
        <w:tc>
          <w:tcPr>
            <w:tcW w:type="dxa" w:w="1587"/>
          </w:tcPr>
          <w:p>
            <w:pPr>
              <w:spacing w:after="0" w:line="245" w:lineRule="auto"/>
              <w:jc w:val="left"/>
            </w:pPr>
            <w:r>
              <w:rPr>
                <w:b w:val="0"/>
                <w:i w:val="0"/>
                <w:sz w:val="16"/>
              </w:rPr>
              <w:t>TLP:AMBER</w:t>
            </w:r>
          </w:p>
        </w:tc>
        <w:tc>
          <w:tcPr>
            <w:tcW w:type="dxa" w:w="3515"/>
          </w:tcPr>
          <w:p>
            <w:pPr>
              <w:spacing w:after="0" w:line="245" w:lineRule="auto"/>
              <w:jc w:val="left"/>
            </w:pPr>
            <w:r>
              <w:rPr>
                <w:b w:val="0"/>
                <w:i w:val="0"/>
                <w:sz w:val="16"/>
              </w:rPr>
              <w:t>Diffusion limitée au besoin d'en connaître.</w:t>
            </w:r>
          </w:p>
        </w:tc>
        <w:tc>
          <w:tcPr>
            <w:tcW w:type="dxa" w:w="2268"/>
          </w:tcPr>
          <w:p>
            <w:pPr>
              <w:spacing w:after="0" w:line="245" w:lineRule="auto"/>
              <w:jc w:val="left"/>
            </w:pPr>
            <w:r>
              <w:rPr>
                <w:b w:val="0"/>
                <w:i w:val="0"/>
                <w:sz w:val="16"/>
              </w:rPr>
              <w:t>Vulnérabilité non corrigée.</w:t>
            </w:r>
          </w:p>
        </w:tc>
      </w:tr>
      <w:tr>
        <w:trPr>
          <w:cantSplit w:val="true"/>
        </w:trPr>
        <w:tc>
          <w:tcPr>
            <w:tcW w:type="dxa" w:w="794"/>
            <w:shd w:val="clear" w:color="auto" w:fill="F3F6FA"/>
          </w:tcPr>
          <w:p>
            <w:pPr>
              <w:spacing w:after="0" w:line="245" w:lineRule="auto"/>
              <w:jc w:val="center"/>
            </w:pPr>
            <w:r>
              <w:rPr>
                <w:b/>
                <w:i w:val="0"/>
                <w:sz w:val="16"/>
              </w:rPr>
              <w:t>3</w:t>
            </w:r>
          </w:p>
        </w:tc>
        <w:tc>
          <w:tcPr>
            <w:tcW w:type="dxa" w:w="1474"/>
            <w:shd w:val="clear" w:color="auto" w:fill="F3F6FA"/>
          </w:tcPr>
          <w:p>
            <w:pPr>
              <w:spacing w:after="0" w:line="245" w:lineRule="auto"/>
              <w:jc w:val="left"/>
            </w:pPr>
            <w:r>
              <w:rPr>
                <w:b w:val="0"/>
                <w:i w:val="0"/>
                <w:sz w:val="16"/>
              </w:rPr>
              <w:t>Secret</w:t>
            </w:r>
          </w:p>
        </w:tc>
        <w:tc>
          <w:tcPr>
            <w:tcW w:type="dxa" w:w="1587"/>
            <w:shd w:val="clear" w:color="auto" w:fill="F3F6FA"/>
          </w:tcPr>
          <w:p>
            <w:pPr>
              <w:spacing w:after="0" w:line="245" w:lineRule="auto"/>
              <w:jc w:val="left"/>
            </w:pPr>
            <w:r>
              <w:rPr>
                <w:b w:val="0"/>
                <w:i w:val="0"/>
                <w:sz w:val="16"/>
              </w:rPr>
              <w:t>TLP:RED</w:t>
            </w:r>
          </w:p>
        </w:tc>
        <w:tc>
          <w:tcPr>
            <w:tcW w:type="dxa" w:w="3515"/>
            <w:shd w:val="clear" w:color="auto" w:fill="F3F6FA"/>
          </w:tcPr>
          <w:p>
            <w:pPr>
              <w:spacing w:after="0" w:line="245" w:lineRule="auto"/>
              <w:jc w:val="left"/>
            </w:pPr>
            <w:r>
              <w:rPr>
                <w:b w:val="0"/>
                <w:i w:val="0"/>
                <w:sz w:val="16"/>
              </w:rPr>
              <w:t>Lecture strictement nominative ; ne pas citer.</w:t>
            </w:r>
          </w:p>
        </w:tc>
        <w:tc>
          <w:tcPr>
            <w:tcW w:type="dxa" w:w="2268"/>
            <w:shd w:val="clear" w:color="auto" w:fill="F3F6FA"/>
          </w:tcPr>
          <w:p>
            <w:pPr>
              <w:spacing w:after="0" w:line="245" w:lineRule="auto"/>
              <w:jc w:val="left"/>
            </w:pPr>
            <w:r>
              <w:rPr>
                <w:b w:val="0"/>
                <w:i w:val="0"/>
                <w:sz w:val="16"/>
              </w:rPr>
              <w:t>Opération CANARI, source humaine.</w:t>
            </w:r>
          </w:p>
        </w:tc>
      </w:tr>
    </w:tbl>
    <w:p>
      <w:pPr>
        <w:pStyle w:val="Source"/>
      </w:pPr>
      <w:r>
        <w:rPr>
          <w:rFonts w:ascii="Calibri" w:hAnsi="Calibri" w:eastAsia="Calibri"/>
          <w:i/>
          <w:color w:val="5B6577"/>
          <w:sz w:val="16"/>
        </w:rPr>
        <w:t>Source : politique de classification du projet ; la conversion TLP est une convention de laboratoire.</w:t>
      </w:r>
    </w:p>
    <w:p>
      <w:pPr>
        <w:keepNext w:val="0"/>
      </w:pPr>
      <w:r>
        <w:rPr>
          <w:b w:val="0"/>
          <w:i w:val="0"/>
        </w:rPr>
        <w:t>La règle de masquage est volontairement asymétrique. L'identité de source (</w:t>
      </w:r>
      <w:r>
        <w:rPr>
          <w:rFonts w:ascii="Consolas" w:hAnsi="Consolas" w:eastAsia="Consolas"/>
          <w:b w:val="0"/>
          <w:i w:val="0"/>
          <w:color w:val="1F2A3A"/>
        </w:rPr>
        <w:t>source_identity</w:t>
      </w:r>
      <w:r>
        <w:rPr>
          <w:b w:val="0"/>
          <w:i w:val="0"/>
        </w:rPr>
        <w:t xml:space="preserve">) n'est visible qu'au niveau 3 ; en dessous, elle est remplacée par une valeur absente et le champ est signalé dans </w:t>
      </w:r>
      <w:r>
        <w:rPr>
          <w:rFonts w:ascii="Consolas" w:hAnsi="Consolas" w:eastAsia="Consolas"/>
          <w:b w:val="0"/>
          <w:i w:val="0"/>
          <w:color w:val="1F2A3A"/>
        </w:rPr>
        <w:t>champs_masques</w:t>
      </w:r>
      <w:r>
        <w:rPr>
          <w:b w:val="0"/>
          <w:i w:val="0"/>
        </w:rPr>
        <w:t>. Le canari, lui, n'est présent que dans un bulletin Secret et n'apparaît jamais dans un refus. Cette asymétrie permet un test positif (le Secret autorisé voit le canari) et un test négatif (le Confidentiel ne le voit pas), sans révéler l'existence de la ressource.</w:t>
      </w:r>
    </w:p>
    <w:p>
      <w:pPr>
        <w:pStyle w:val="Heading2"/>
      </w:pPr>
      <w:r>
        <w:rPr>
          <w:rFonts w:ascii="Calibri" w:hAnsi="Calibri" w:eastAsia="Calibri"/>
          <w:b/>
          <w:color w:val="2F6DB3"/>
          <w:sz w:val="28"/>
        </w:rPr>
        <w:t>4.3 Parcours d'un document classifié</w:t>
      </w:r>
    </w:p>
    <w:p>
      <w:pPr>
        <w:keepNext w:val="0"/>
      </w:pPr>
      <w:r>
        <w:rPr>
          <w:b w:val="0"/>
          <w:i w:val="0"/>
        </w:rPr>
        <w:t>Le parcours complet comporte huit étapes. Les quatre premières concernent l'ingestion et le stockage ; les quatre suivantes concernent la demande et la réponse. Le refus est une branche de l'étape 6 : il ne dit jamais si la ressource existe, mais il laisse une trace aussi précise qu'une autorisation.</w:t>
      </w:r>
    </w:p>
    <w:p>
      <w:pPr>
        <w:keepNext/>
        <w:spacing w:before="100" w:after="40"/>
        <w:jc w:val="center"/>
      </w:pPr>
      <w:r>
        <w:drawing>
          <wp:inline xmlns:a="http://schemas.openxmlformats.org/drawingml/2006/main" xmlns:pic="http://schemas.openxmlformats.org/drawingml/2006/picture">
            <wp:extent cx="5112000" cy="4205472"/>
            <wp:docPr id="4" name="Picture 4"/>
            <wp:cNvGraphicFramePr>
              <a:graphicFrameLocks noChangeAspect="1"/>
            </wp:cNvGraphicFramePr>
            <a:graphic>
              <a:graphicData uri="http://schemas.openxmlformats.org/drawingml/2006/picture">
                <pic:pic>
                  <pic:nvPicPr>
                    <pic:cNvPr id="0" name="fig_parcours_document.png"/>
                    <pic:cNvPicPr/>
                  </pic:nvPicPr>
                  <pic:blipFill>
                    <a:blip r:embed="rId16"/>
                    <a:stretch>
                      <a:fillRect/>
                    </a:stretch>
                  </pic:blipFill>
                  <pic:spPr>
                    <a:xfrm>
                      <a:off x="0" y="0"/>
                      <a:ext cx="5112000" cy="4205472"/>
                    </a:xfrm>
                    <a:prstGeom prst="rect"/>
                    <a:ln w="9525">
                      <a:solidFill>
                        <a:srgbClr val="C9CED6"/>
                      </a:solidFill>
                    </a:ln>
                  </pic:spPr>
                </pic:pic>
              </a:graphicData>
            </a:graphic>
          </wp:inline>
        </w:drawing>
      </w:r>
    </w:p>
    <w:p>
      <w:pPr>
        <w:pStyle w:val="Légende"/>
        <w:keepNext/>
      </w:pPr>
      <w:r>
        <w:rPr>
          <w:rFonts w:ascii="Calibri" w:hAnsi="Calibri" w:eastAsia="Calibri"/>
          <w:i/>
          <w:color w:val="5B6577"/>
          <w:sz w:val="18"/>
        </w:rPr>
        <w:t xml:space="preserve">Figure </w:t>
      </w:r>
      <w:r>
        <w:fldChar w:fldCharType="begin"/>
      </w:r>
      <w:r>
        <w:instrText xml:space="preserve"> SEQ Figure \* ARABIC </w:instrText>
      </w:r>
      <w:r>
        <w:fldChar w:fldCharType="separate"/>
      </w:r>
      <w:r>
        <w:rPr>
          <w:color w:val="5B6577"/>
          <w:sz w:val="18"/>
        </w:rPr>
        <w:t>3</w:t>
      </w:r>
      <w:r>
        <w:fldChar w:fldCharType="end"/>
      </w:r>
      <w:r>
        <w:rPr>
          <w:rFonts w:ascii="Calibri" w:hAnsi="Calibri" w:eastAsia="Calibri"/>
          <w:i/>
          <w:color w:val="5B6577"/>
          <w:sz w:val="18"/>
        </w:rPr>
        <w:t xml:space="preserve"> — Parcours d'un bulletin classifié, de l'ingestion à la réponse et au refus</w:t>
      </w:r>
    </w:p>
    <w:p>
      <w:pPr>
        <w:pStyle w:val="Source"/>
      </w:pPr>
      <w:r>
        <w:rPr>
          <w:rFonts w:ascii="Calibri" w:hAnsi="Calibri" w:eastAsia="Calibri"/>
          <w:i/>
          <w:color w:val="5B6577"/>
          <w:sz w:val="16"/>
        </w:rPr>
        <w:t>Source : conception du projet ; chaque étape cite les exigences qu'elle met en œuvre.</w:t>
      </w:r>
    </w:p>
    <w:p>
      <w:pPr>
        <w:keepNext w:val="0"/>
      </w:pPr>
      <w:r>
        <w:rPr>
          <w:b w:val="0"/>
          <w:i w:val="0"/>
        </w:rPr>
        <w:t>Ce parcours met en évidence un point souvent négligé : le refus n'est pas une absence de traitement. Il faut décider, journaliser et répondre de façon générique. Si le refus est plus lent, plus bavard ou plus ambigu qu'une réponse autorisée, il devient un oracle. C'est pourquoi les tests A06, A07 et A08 comparent les messages et les temps de réponse, et pourquoi l'audit conserve un motif interne distinct alors que le client ne reçoit qu'un code générique.</w:t>
      </w:r>
    </w:p>
    <w:p>
      <w:pPr>
        <w:pStyle w:val="Heading2"/>
      </w:pPr>
      <w:r>
        <w:rPr>
          <w:rFonts w:ascii="Calibri" w:hAnsi="Calibri" w:eastAsia="Calibri"/>
          <w:b/>
          <w:color w:val="2F6DB3"/>
          <w:sz w:val="28"/>
        </w:rPr>
        <w:t>4.4 Huit points de contrôle</w:t>
      </w:r>
    </w:p>
    <w:p>
      <w:pPr>
        <w:keepNext w:val="0"/>
      </w:pPr>
      <w:r>
        <w:rPr>
          <w:b w:val="0"/>
          <w:i w:val="0"/>
        </w:rPr>
        <w:t>Les points de contrôle sont nommés CP1 à CP8. Ils sont placés sur des frontières, pas dans des fonctions arbitraires : chacun correspond à un moment où une donnée change de zone ou de nature. Cette nomenclature nous a servi à la fois pour coder et pour expliquer le système à l'oral.</w:t>
      </w:r>
    </w:p>
    <w:p>
      <w:pPr>
        <w:pStyle w:val="Légende"/>
        <w:keepNext/>
      </w:pPr>
      <w:r>
        <w:rPr>
          <w:rFonts w:ascii="Calibri" w:hAnsi="Calibri" w:eastAsia="Calibri"/>
          <w:i/>
          <w:color w:val="5B6577"/>
          <w:sz w:val="18"/>
        </w:rPr>
        <w:t xml:space="preserve">Tableau </w:t>
      </w:r>
      <w:r>
        <w:fldChar w:fldCharType="begin"/>
      </w:r>
      <w:r>
        <w:instrText xml:space="preserve"> SEQ Tableau \* ARABIC </w:instrText>
      </w:r>
      <w:r>
        <w:fldChar w:fldCharType="separate"/>
      </w:r>
      <w:r>
        <w:rPr>
          <w:color w:val="5B6577"/>
          <w:sz w:val="18"/>
        </w:rPr>
        <w:t>7</w:t>
      </w:r>
      <w:r>
        <w:fldChar w:fldCharType="end"/>
      </w:r>
      <w:r>
        <w:rPr>
          <w:rFonts w:ascii="Calibri" w:hAnsi="Calibri" w:eastAsia="Calibri"/>
          <w:i/>
          <w:color w:val="5B6577"/>
          <w:sz w:val="18"/>
        </w:rPr>
        <w:t xml:space="preserve"> — Points de contrôle et exigences</w:t>
      </w:r>
    </w:p>
    <w:tbl>
      <w:tblPr>
        <w:tblW w:type="auto" w:w="0"/>
        <w:jc w:val="center"/>
        <w:tblLayout w:type="fixed"/>
        <w:tblLook w:firstColumn="1" w:firstRow="1" w:lastColumn="0" w:lastRow="0" w:noHBand="0" w:noVBand="1" w:val="04A0"/>
        <w:tblCellMar>
          <w:top w:w="40" w:type="dxa"/>
          <w:left w:w="80" w:type="dxa"/>
          <w:bottom w:w="40" w:type="dxa"/>
          <w:right w:w="80" w:type="dxa"/>
        </w:tblCellMar>
      </w:tblPr>
      <w:tblGrid>
        <w:gridCol w:w="2409"/>
        <w:gridCol w:w="2409"/>
        <w:gridCol w:w="2409"/>
        <w:gridCol w:w="2409"/>
      </w:tblGrid>
      <w:tr>
        <w:trPr>
          <w:tblHeader w:val="true"/>
          <w:cantSplit w:val="true"/>
        </w:trPr>
        <w:tc>
          <w:tcPr>
            <w:tcW w:type="dxa" w:w="680"/>
            <w:shd w:val="clear" w:color="auto" w:fill="10243F"/>
          </w:tcPr>
          <w:p>
            <w:pPr>
              <w:spacing w:after="0"/>
              <w:jc w:val="center"/>
            </w:pPr>
            <w:r>
              <w:rPr>
                <w:rFonts w:ascii="Calibri" w:hAnsi="Calibri" w:eastAsia="Calibri"/>
                <w:b/>
                <w:color w:val="FFFFFF"/>
                <w:sz w:val="16"/>
              </w:rPr>
              <w:t>Point</w:t>
            </w:r>
          </w:p>
        </w:tc>
        <w:tc>
          <w:tcPr>
            <w:tcW w:type="dxa" w:w="2041"/>
            <w:shd w:val="clear" w:color="auto" w:fill="10243F"/>
          </w:tcPr>
          <w:p>
            <w:pPr>
              <w:spacing w:after="0"/>
              <w:jc w:val="center"/>
            </w:pPr>
            <w:r>
              <w:rPr>
                <w:rFonts w:ascii="Calibri" w:hAnsi="Calibri" w:eastAsia="Calibri"/>
                <w:b/>
                <w:color w:val="FFFFFF"/>
                <w:sz w:val="16"/>
              </w:rPr>
              <w:t>Nom</w:t>
            </w:r>
          </w:p>
        </w:tc>
        <w:tc>
          <w:tcPr>
            <w:tcW w:type="dxa" w:w="4876"/>
            <w:shd w:val="clear" w:color="auto" w:fill="10243F"/>
          </w:tcPr>
          <w:p>
            <w:pPr>
              <w:spacing w:after="0"/>
              <w:jc w:val="center"/>
            </w:pPr>
            <w:r>
              <w:rPr>
                <w:rFonts w:ascii="Calibri" w:hAnsi="Calibri" w:eastAsia="Calibri"/>
                <w:b/>
                <w:color w:val="FFFFFF"/>
                <w:sz w:val="16"/>
              </w:rPr>
              <w:t>Ce qu'il vérifie</w:t>
            </w:r>
          </w:p>
        </w:tc>
        <w:tc>
          <w:tcPr>
            <w:tcW w:type="dxa" w:w="1814"/>
            <w:shd w:val="clear" w:color="auto" w:fill="10243F"/>
          </w:tcPr>
          <w:p>
            <w:pPr>
              <w:spacing w:after="0"/>
              <w:jc w:val="center"/>
            </w:pPr>
            <w:r>
              <w:rPr>
                <w:rFonts w:ascii="Calibri" w:hAnsi="Calibri" w:eastAsia="Calibri"/>
                <w:b/>
                <w:color w:val="FFFFFF"/>
                <w:sz w:val="16"/>
              </w:rPr>
              <w:t>Exigences</w:t>
            </w:r>
          </w:p>
        </w:tc>
      </w:tr>
      <w:tr>
        <w:trPr>
          <w:cantSplit w:val="true"/>
        </w:trPr>
        <w:tc>
          <w:tcPr>
            <w:tcW w:type="dxa" w:w="680"/>
          </w:tcPr>
          <w:p>
            <w:pPr>
              <w:spacing w:after="0" w:line="245" w:lineRule="auto"/>
              <w:jc w:val="center"/>
            </w:pPr>
            <w:r>
              <w:rPr>
                <w:b/>
                <w:i w:val="0"/>
                <w:sz w:val="16"/>
              </w:rPr>
              <w:t>CP1</w:t>
            </w:r>
          </w:p>
        </w:tc>
        <w:tc>
          <w:tcPr>
            <w:tcW w:type="dxa" w:w="2041"/>
          </w:tcPr>
          <w:p>
            <w:pPr>
              <w:spacing w:after="0" w:line="245" w:lineRule="auto"/>
              <w:jc w:val="left"/>
            </w:pPr>
            <w:r>
              <w:rPr>
                <w:b w:val="0"/>
                <w:i w:val="0"/>
                <w:sz w:val="16"/>
              </w:rPr>
              <w:t>Authentification et posture</w:t>
            </w:r>
          </w:p>
        </w:tc>
        <w:tc>
          <w:tcPr>
            <w:tcW w:type="dxa" w:w="4876"/>
          </w:tcPr>
          <w:p>
            <w:pPr>
              <w:spacing w:after="0" w:line="245" w:lineRule="auto"/>
              <w:jc w:val="left"/>
            </w:pPr>
            <w:r>
              <w:rPr>
                <w:b w:val="0"/>
                <w:i w:val="0"/>
                <w:sz w:val="16"/>
              </w:rPr>
              <w:t>Signature HMAC, expiration, révocation, EDR, chiffrement, OS, attestation ≤ 24 h.</w:t>
            </w:r>
          </w:p>
        </w:tc>
        <w:tc>
          <w:tcPr>
            <w:tcW w:type="dxa" w:w="1814"/>
          </w:tcPr>
          <w:p>
            <w:pPr>
              <w:spacing w:after="0" w:line="245" w:lineRule="auto"/>
              <w:jc w:val="left"/>
            </w:pPr>
            <w:r>
              <w:rPr>
                <w:b w:val="0"/>
                <w:i w:val="0"/>
                <w:sz w:val="16"/>
              </w:rPr>
              <w:t>EF-02, ENF-04</w:t>
            </w:r>
          </w:p>
        </w:tc>
      </w:tr>
      <w:tr>
        <w:trPr>
          <w:cantSplit w:val="true"/>
        </w:trPr>
        <w:tc>
          <w:tcPr>
            <w:tcW w:type="dxa" w:w="680"/>
            <w:shd w:val="clear" w:color="auto" w:fill="F3F6FA"/>
          </w:tcPr>
          <w:p>
            <w:pPr>
              <w:spacing w:after="0" w:line="245" w:lineRule="auto"/>
              <w:jc w:val="center"/>
            </w:pPr>
            <w:r>
              <w:rPr>
                <w:b/>
                <w:i w:val="0"/>
                <w:sz w:val="16"/>
              </w:rPr>
              <w:t>CP2</w:t>
            </w:r>
          </w:p>
        </w:tc>
        <w:tc>
          <w:tcPr>
            <w:tcW w:type="dxa" w:w="2041"/>
            <w:shd w:val="clear" w:color="auto" w:fill="F3F6FA"/>
          </w:tcPr>
          <w:p>
            <w:pPr>
              <w:spacing w:after="0" w:line="245" w:lineRule="auto"/>
              <w:jc w:val="left"/>
            </w:pPr>
            <w:r>
              <w:rPr>
                <w:b w:val="0"/>
                <w:i w:val="0"/>
                <w:sz w:val="16"/>
              </w:rPr>
              <w:t>Décision ABAC</w:t>
            </w:r>
          </w:p>
        </w:tc>
        <w:tc>
          <w:tcPr>
            <w:tcW w:type="dxa" w:w="4876"/>
            <w:shd w:val="clear" w:color="auto" w:fill="F3F6FA"/>
          </w:tcPr>
          <w:p>
            <w:pPr>
              <w:spacing w:after="0" w:line="245" w:lineRule="auto"/>
              <w:jc w:val="left"/>
            </w:pPr>
            <w:r>
              <w:rPr>
                <w:b w:val="0"/>
                <w:i w:val="0"/>
                <w:sz w:val="16"/>
              </w:rPr>
              <w:t>Rôle, finalité, niveau, compartiments, existence de la ressource.</w:t>
            </w:r>
          </w:p>
        </w:tc>
        <w:tc>
          <w:tcPr>
            <w:tcW w:type="dxa" w:w="1814"/>
            <w:shd w:val="clear" w:color="auto" w:fill="F3F6FA"/>
          </w:tcPr>
          <w:p>
            <w:pPr>
              <w:spacing w:after="0" w:line="245" w:lineRule="auto"/>
              <w:jc w:val="left"/>
            </w:pPr>
            <w:r>
              <w:rPr>
                <w:b w:val="0"/>
                <w:i w:val="0"/>
                <w:sz w:val="16"/>
              </w:rPr>
              <w:t>EF-03, EF-11</w:t>
            </w:r>
          </w:p>
        </w:tc>
      </w:tr>
      <w:tr>
        <w:trPr>
          <w:cantSplit w:val="true"/>
        </w:trPr>
        <w:tc>
          <w:tcPr>
            <w:tcW w:type="dxa" w:w="680"/>
          </w:tcPr>
          <w:p>
            <w:pPr>
              <w:spacing w:after="0" w:line="245" w:lineRule="auto"/>
              <w:jc w:val="center"/>
            </w:pPr>
            <w:r>
              <w:rPr>
                <w:b/>
                <w:i w:val="0"/>
                <w:sz w:val="16"/>
              </w:rPr>
              <w:t>CP3</w:t>
            </w:r>
          </w:p>
        </w:tc>
        <w:tc>
          <w:tcPr>
            <w:tcW w:type="dxa" w:w="2041"/>
          </w:tcPr>
          <w:p>
            <w:pPr>
              <w:spacing w:after="0" w:line="245" w:lineRule="auto"/>
              <w:jc w:val="left"/>
            </w:pPr>
            <w:r>
              <w:rPr>
                <w:b w:val="0"/>
                <w:i w:val="0"/>
                <w:sz w:val="16"/>
              </w:rPr>
              <w:t>Validation des entrées</w:t>
            </w:r>
          </w:p>
        </w:tc>
        <w:tc>
          <w:tcPr>
            <w:tcW w:type="dxa" w:w="4876"/>
          </w:tcPr>
          <w:p>
            <w:pPr>
              <w:spacing w:after="0" w:line="245" w:lineRule="auto"/>
              <w:jc w:val="left"/>
            </w:pPr>
            <w:r>
              <w:rPr>
                <w:b w:val="0"/>
                <w:i w:val="0"/>
                <w:sz w:val="16"/>
              </w:rPr>
              <w:t>Schéma strict, types, taille, profondeur, propriétés interdites.</w:t>
            </w:r>
          </w:p>
        </w:tc>
        <w:tc>
          <w:tcPr>
            <w:tcW w:type="dxa" w:w="1814"/>
          </w:tcPr>
          <w:p>
            <w:pPr>
              <w:spacing w:after="0" w:line="245" w:lineRule="auto"/>
              <w:jc w:val="left"/>
            </w:pPr>
            <w:r>
              <w:rPr>
                <w:b w:val="0"/>
                <w:i w:val="0"/>
                <w:sz w:val="16"/>
              </w:rPr>
              <w:t>EF-12, ENF-09</w:t>
            </w:r>
          </w:p>
        </w:tc>
      </w:tr>
      <w:tr>
        <w:trPr>
          <w:cantSplit w:val="true"/>
        </w:trPr>
        <w:tc>
          <w:tcPr>
            <w:tcW w:type="dxa" w:w="680"/>
            <w:shd w:val="clear" w:color="auto" w:fill="F3F6FA"/>
          </w:tcPr>
          <w:p>
            <w:pPr>
              <w:spacing w:after="0" w:line="245" w:lineRule="auto"/>
              <w:jc w:val="center"/>
            </w:pPr>
            <w:r>
              <w:rPr>
                <w:b/>
                <w:i w:val="0"/>
                <w:sz w:val="16"/>
              </w:rPr>
              <w:t>CP4</w:t>
            </w:r>
          </w:p>
        </w:tc>
        <w:tc>
          <w:tcPr>
            <w:tcW w:type="dxa" w:w="2041"/>
            <w:shd w:val="clear" w:color="auto" w:fill="F3F6FA"/>
          </w:tcPr>
          <w:p>
            <w:pPr>
              <w:spacing w:after="0" w:line="245" w:lineRule="auto"/>
              <w:jc w:val="left"/>
            </w:pPr>
            <w:r>
              <w:rPr>
                <w:b w:val="0"/>
                <w:i w:val="0"/>
                <w:sz w:val="16"/>
              </w:rPr>
              <w:t>Assainissement</w:t>
            </w:r>
          </w:p>
        </w:tc>
        <w:tc>
          <w:tcPr>
            <w:tcW w:type="dxa" w:w="4876"/>
            <w:shd w:val="clear" w:color="auto" w:fill="F3F6FA"/>
          </w:tcPr>
          <w:p>
            <w:pPr>
              <w:spacing w:after="0" w:line="245" w:lineRule="auto"/>
              <w:jc w:val="left"/>
            </w:pPr>
            <w:r>
              <w:rPr>
                <w:b w:val="0"/>
                <w:i w:val="0"/>
                <w:sz w:val="16"/>
              </w:rPr>
              <w:t>Détection et neutralisation des instructions, balises actives, exfiltration.</w:t>
            </w:r>
          </w:p>
        </w:tc>
        <w:tc>
          <w:tcPr>
            <w:tcW w:type="dxa" w:w="1814"/>
            <w:shd w:val="clear" w:color="auto" w:fill="F3F6FA"/>
          </w:tcPr>
          <w:p>
            <w:pPr>
              <w:spacing w:after="0" w:line="245" w:lineRule="auto"/>
              <w:jc w:val="left"/>
            </w:pPr>
            <w:r>
              <w:rPr>
                <w:b w:val="0"/>
                <w:i w:val="0"/>
                <w:sz w:val="16"/>
              </w:rPr>
              <w:t>EF-05, ENF-12</w:t>
            </w:r>
          </w:p>
        </w:tc>
      </w:tr>
      <w:tr>
        <w:trPr>
          <w:cantSplit w:val="true"/>
        </w:trPr>
        <w:tc>
          <w:tcPr>
            <w:tcW w:type="dxa" w:w="680"/>
          </w:tcPr>
          <w:p>
            <w:pPr>
              <w:spacing w:after="0" w:line="245" w:lineRule="auto"/>
              <w:jc w:val="center"/>
            </w:pPr>
            <w:r>
              <w:rPr>
                <w:b/>
                <w:i w:val="0"/>
                <w:sz w:val="16"/>
              </w:rPr>
              <w:t>CP5</w:t>
            </w:r>
          </w:p>
        </w:tc>
        <w:tc>
          <w:tcPr>
            <w:tcW w:type="dxa" w:w="2041"/>
          </w:tcPr>
          <w:p>
            <w:pPr>
              <w:spacing w:after="0" w:line="245" w:lineRule="auto"/>
              <w:jc w:val="left"/>
            </w:pPr>
            <w:r>
              <w:rPr>
                <w:b w:val="0"/>
                <w:i w:val="0"/>
                <w:sz w:val="16"/>
              </w:rPr>
              <w:t>Enveloppe et masquage</w:t>
            </w:r>
          </w:p>
        </w:tc>
        <w:tc>
          <w:tcPr>
            <w:tcW w:type="dxa" w:w="4876"/>
          </w:tcPr>
          <w:p>
            <w:pPr>
              <w:spacing w:after="0" w:line="245" w:lineRule="auto"/>
              <w:jc w:val="left"/>
            </w:pPr>
            <w:r>
              <w:rPr>
                <w:b w:val="0"/>
                <w:i w:val="0"/>
                <w:sz w:val="16"/>
              </w:rPr>
              <w:t>Étiquette de sortie, TLP, mentions, champs masqués, canari.</w:t>
            </w:r>
          </w:p>
        </w:tc>
        <w:tc>
          <w:tcPr>
            <w:tcW w:type="dxa" w:w="1814"/>
          </w:tcPr>
          <w:p>
            <w:pPr>
              <w:spacing w:after="0" w:line="245" w:lineRule="auto"/>
              <w:jc w:val="left"/>
            </w:pPr>
            <w:r>
              <w:rPr>
                <w:b w:val="0"/>
                <w:i w:val="0"/>
                <w:sz w:val="16"/>
              </w:rPr>
              <w:t>EF-04, ENF-02</w:t>
            </w:r>
          </w:p>
        </w:tc>
      </w:tr>
      <w:tr>
        <w:trPr>
          <w:cantSplit w:val="true"/>
        </w:trPr>
        <w:tc>
          <w:tcPr>
            <w:tcW w:type="dxa" w:w="680"/>
            <w:shd w:val="clear" w:color="auto" w:fill="F3F6FA"/>
          </w:tcPr>
          <w:p>
            <w:pPr>
              <w:spacing w:after="0" w:line="245" w:lineRule="auto"/>
              <w:jc w:val="center"/>
            </w:pPr>
            <w:r>
              <w:rPr>
                <w:b/>
                <w:i w:val="0"/>
                <w:sz w:val="16"/>
              </w:rPr>
              <w:t>CP6</w:t>
            </w:r>
          </w:p>
        </w:tc>
        <w:tc>
          <w:tcPr>
            <w:tcW w:type="dxa" w:w="2041"/>
            <w:shd w:val="clear" w:color="auto" w:fill="F3F6FA"/>
          </w:tcPr>
          <w:p>
            <w:pPr>
              <w:spacing w:after="0" w:line="245" w:lineRule="auto"/>
              <w:jc w:val="left"/>
            </w:pPr>
            <w:r>
              <w:rPr>
                <w:b w:val="0"/>
                <w:i w:val="0"/>
                <w:sz w:val="16"/>
              </w:rPr>
              <w:t>Limite de débit</w:t>
            </w:r>
          </w:p>
        </w:tc>
        <w:tc>
          <w:tcPr>
            <w:tcW w:type="dxa" w:w="4876"/>
            <w:shd w:val="clear" w:color="auto" w:fill="F3F6FA"/>
          </w:tcPr>
          <w:p>
            <w:pPr>
              <w:spacing w:after="0" w:line="245" w:lineRule="auto"/>
              <w:jc w:val="left"/>
            </w:pPr>
            <w:r>
              <w:rPr>
                <w:b w:val="0"/>
                <w:i w:val="0"/>
                <w:sz w:val="16"/>
              </w:rPr>
              <w:t>Fenêtre glissante par sujet, refus explicite sans effet de bord.</w:t>
            </w:r>
          </w:p>
        </w:tc>
        <w:tc>
          <w:tcPr>
            <w:tcW w:type="dxa" w:w="1814"/>
            <w:shd w:val="clear" w:color="auto" w:fill="F3F6FA"/>
          </w:tcPr>
          <w:p>
            <w:pPr>
              <w:spacing w:after="0" w:line="245" w:lineRule="auto"/>
              <w:jc w:val="left"/>
            </w:pPr>
            <w:r>
              <w:rPr>
                <w:b w:val="0"/>
                <w:i w:val="0"/>
                <w:sz w:val="16"/>
              </w:rPr>
              <w:t>EF-13</w:t>
            </w:r>
          </w:p>
        </w:tc>
      </w:tr>
      <w:tr>
        <w:trPr>
          <w:cantSplit w:val="true"/>
        </w:trPr>
        <w:tc>
          <w:tcPr>
            <w:tcW w:type="dxa" w:w="680"/>
          </w:tcPr>
          <w:p>
            <w:pPr>
              <w:spacing w:after="0" w:line="245" w:lineRule="auto"/>
              <w:jc w:val="center"/>
            </w:pPr>
            <w:r>
              <w:rPr>
                <w:b/>
                <w:i w:val="0"/>
                <w:sz w:val="16"/>
              </w:rPr>
              <w:t>CP7</w:t>
            </w:r>
          </w:p>
        </w:tc>
        <w:tc>
          <w:tcPr>
            <w:tcW w:type="dxa" w:w="2041"/>
          </w:tcPr>
          <w:p>
            <w:pPr>
              <w:spacing w:after="0" w:line="245" w:lineRule="auto"/>
              <w:jc w:val="left"/>
            </w:pPr>
            <w:r>
              <w:rPr>
                <w:b w:val="0"/>
                <w:i w:val="0"/>
                <w:sz w:val="16"/>
              </w:rPr>
              <w:t>Journal unique</w:t>
            </w:r>
          </w:p>
        </w:tc>
        <w:tc>
          <w:tcPr>
            <w:tcW w:type="dxa" w:w="4876"/>
          </w:tcPr>
          <w:p>
            <w:pPr>
              <w:spacing w:after="0" w:line="245" w:lineRule="auto"/>
              <w:jc w:val="left"/>
            </w:pPr>
            <w:r>
              <w:rPr>
                <w:b w:val="0"/>
                <w:i w:val="0"/>
                <w:sz w:val="16"/>
              </w:rPr>
              <w:t>Séquence, empreinte, motif, détail, fanions, latence ; échec fermé.</w:t>
            </w:r>
          </w:p>
        </w:tc>
        <w:tc>
          <w:tcPr>
            <w:tcW w:type="dxa" w:w="1814"/>
          </w:tcPr>
          <w:p>
            <w:pPr>
              <w:spacing w:after="0" w:line="245" w:lineRule="auto"/>
              <w:jc w:val="left"/>
            </w:pPr>
            <w:r>
              <w:rPr>
                <w:b w:val="0"/>
                <w:i w:val="0"/>
                <w:sz w:val="16"/>
              </w:rPr>
              <w:t>EF-08, ENF-03, ENF-08</w:t>
            </w:r>
          </w:p>
        </w:tc>
      </w:tr>
      <w:tr>
        <w:trPr>
          <w:cantSplit w:val="true"/>
        </w:trPr>
        <w:tc>
          <w:tcPr>
            <w:tcW w:type="dxa" w:w="680"/>
            <w:shd w:val="clear" w:color="auto" w:fill="F3F6FA"/>
          </w:tcPr>
          <w:p>
            <w:pPr>
              <w:spacing w:after="0" w:line="245" w:lineRule="auto"/>
              <w:jc w:val="center"/>
            </w:pPr>
            <w:r>
              <w:rPr>
                <w:b/>
                <w:i w:val="0"/>
                <w:sz w:val="16"/>
              </w:rPr>
              <w:t>CP8</w:t>
            </w:r>
          </w:p>
        </w:tc>
        <w:tc>
          <w:tcPr>
            <w:tcW w:type="dxa" w:w="2041"/>
            <w:shd w:val="clear" w:color="auto" w:fill="F3F6FA"/>
          </w:tcPr>
          <w:p>
            <w:pPr>
              <w:spacing w:after="0" w:line="245" w:lineRule="auto"/>
              <w:jc w:val="left"/>
            </w:pPr>
            <w:r>
              <w:rPr>
                <w:b w:val="0"/>
                <w:i w:val="0"/>
                <w:sz w:val="16"/>
              </w:rPr>
              <w:t>Accès données</w:t>
            </w:r>
          </w:p>
        </w:tc>
        <w:tc>
          <w:tcPr>
            <w:tcW w:type="dxa" w:w="4876"/>
            <w:shd w:val="clear" w:color="auto" w:fill="F3F6FA"/>
          </w:tcPr>
          <w:p>
            <w:pPr>
              <w:spacing w:after="0" w:line="245" w:lineRule="auto"/>
              <w:jc w:val="left"/>
            </w:pPr>
            <w:r>
              <w:rPr>
                <w:b w:val="0"/>
                <w:i w:val="0"/>
                <w:sz w:val="16"/>
              </w:rPr>
              <w:t>Lecture seule, filtrage, moindre privilège, modes de fichiers.</w:t>
            </w:r>
          </w:p>
        </w:tc>
        <w:tc>
          <w:tcPr>
            <w:tcW w:type="dxa" w:w="1814"/>
            <w:shd w:val="clear" w:color="auto" w:fill="F3F6FA"/>
          </w:tcPr>
          <w:p>
            <w:pPr>
              <w:spacing w:after="0" w:line="245" w:lineRule="auto"/>
              <w:jc w:val="left"/>
            </w:pPr>
            <w:r>
              <w:rPr>
                <w:b w:val="0"/>
                <w:i w:val="0"/>
                <w:sz w:val="16"/>
              </w:rPr>
              <w:t>ENF-06, ENF-07</w:t>
            </w:r>
          </w:p>
        </w:tc>
      </w:tr>
    </w:tbl>
    <w:p>
      <w:pPr>
        <w:pStyle w:val="Source"/>
      </w:pPr>
      <w:r>
        <w:rPr>
          <w:rFonts w:ascii="Calibri" w:hAnsi="Calibri" w:eastAsia="Calibri"/>
          <w:i/>
          <w:color w:val="5B6577"/>
          <w:sz w:val="16"/>
        </w:rPr>
        <w:t>Source : architecture ; chaque point est implémenté dans un module identifié au chapitre 5.</w:t>
      </w:r>
    </w:p>
    <w:p>
      <w:pPr>
        <w:pStyle w:val="Heading2"/>
      </w:pPr>
      <w:r>
        <w:rPr>
          <w:rFonts w:ascii="Calibri" w:hAnsi="Calibri" w:eastAsia="Calibri"/>
          <w:b/>
          <w:color w:val="2F6DB3"/>
          <w:sz w:val="28"/>
        </w:rPr>
        <w:t>4.5 Un seul point de journalisation, en échec fermé</w:t>
      </w:r>
    </w:p>
    <w:p>
      <w:pPr>
        <w:keepNext w:val="0"/>
      </w:pPr>
      <w:r>
        <w:rPr>
          <w:b w:val="0"/>
          <w:i w:val="0"/>
        </w:rPr>
        <w:t xml:space="preserve">Le journal est volontairement unique. Chaque appel, qu'il soit autorisé ou refusé, produit exactement une entrée dans </w:t>
      </w:r>
      <w:r>
        <w:rPr>
          <w:rFonts w:ascii="Consolas" w:hAnsi="Consolas" w:eastAsia="Consolas"/>
          <w:b w:val="0"/>
          <w:i w:val="0"/>
          <w:color w:val="1F2A3A"/>
        </w:rPr>
        <w:t>preuves/lab/audit.jsonl</w:t>
      </w:r>
      <w:r>
        <w:rPr>
          <w:b w:val="0"/>
          <w:i w:val="0"/>
        </w:rPr>
        <w:t>. L'entrée contient la séquence, l'empreinte précédente, l'empreinte courante, l'horodatage, le sujet, l'outil, la décision, le motif interne, le détail, les fanions d'injection, les champs masqués et la latence. L'empreinte est calculée sur la concaténation de l'empreinte précédente et du contenu canonique de l'entrée : toute modification rompt la chaîne.</w:t>
      </w:r>
    </w:p>
    <w:p>
      <w:pPr>
        <w:keepNext w:val="0"/>
      </w:pPr>
      <w:r>
        <w:rPr>
          <w:b w:val="0"/>
          <w:i w:val="0"/>
        </w:rPr>
        <w:t xml:space="preserve">Le point important n'est pas la chaîne elle-même, mais sa position dans le chemin de réponse. Si l'écriture d'audit échoue sur une réponse destinée à être autorisée, le serveur refuse la réponse. C'est le </w:t>
      </w:r>
      <w:r>
        <w:rPr>
          <w:b/>
          <w:i w:val="0"/>
        </w:rPr>
        <w:t>fail-closed</w:t>
      </w:r>
      <w:r>
        <w:rPr>
          <w:b w:val="0"/>
          <w:i w:val="0"/>
        </w:rPr>
        <w:t xml:space="preserve"> : mieux vaut ne pas répondre que répondre sans trace. Nous avons testé ce comportement par construction et par la vérification de la chaîne ; la limite est qu'un attaquant disposant des droits d'écriture sur le fichier peut réécrire l'ensemble. Sans ancrage externe, la chaîne détecte les altérations locales, pas une réécriture complète et cohérente.</w:t>
      </w:r>
    </w:p>
    <w:p>
      <w:pPr>
        <w:pStyle w:val="Heading2"/>
      </w:pPr>
      <w:r>
        <w:rPr>
          <w:rFonts w:ascii="Calibri" w:hAnsi="Calibri" w:eastAsia="Calibri"/>
          <w:b/>
          <w:color w:val="2F6DB3"/>
          <w:sz w:val="28"/>
        </w:rPr>
        <w:t>4.6 Composants, rôles et exigences</w:t>
      </w:r>
    </w:p>
    <w:p>
      <w:pPr>
        <w:keepNext w:val="0"/>
      </w:pPr>
      <w:r>
        <w:rPr>
          <w:b w:val="0"/>
          <w:i w:val="0"/>
        </w:rPr>
        <w:t xml:space="preserve">Le code est organisé en modules courts, chacun avec une responsabilité lisible. </w:t>
      </w:r>
      <w:r>
        <w:rPr>
          <w:rFonts w:ascii="Consolas" w:hAnsi="Consolas" w:eastAsia="Consolas"/>
          <w:b w:val="0"/>
          <w:i w:val="0"/>
          <w:color w:val="1F2A3A"/>
        </w:rPr>
        <w:t>config.py</w:t>
      </w:r>
      <w:r>
        <w:rPr>
          <w:b w:val="0"/>
          <w:i w:val="0"/>
        </w:rPr>
        <w:t xml:space="preserve"> porte les constantes, niveaux, TLP, rôles, finalités et seuils ; </w:t>
      </w:r>
      <w:r>
        <w:rPr>
          <w:rFonts w:ascii="Consolas" w:hAnsi="Consolas" w:eastAsia="Consolas"/>
          <w:b w:val="0"/>
          <w:i w:val="0"/>
          <w:color w:val="1F2A3A"/>
        </w:rPr>
        <w:t>auth.py</w:t>
      </w:r>
      <w:r>
        <w:rPr>
          <w:b w:val="0"/>
          <w:i w:val="0"/>
        </w:rPr>
        <w:t xml:space="preserve">, l'émission et la vérification des jetons HMAC ; </w:t>
      </w:r>
      <w:r>
        <w:rPr>
          <w:rFonts w:ascii="Consolas" w:hAnsi="Consolas" w:eastAsia="Consolas"/>
          <w:b w:val="0"/>
          <w:i w:val="0"/>
          <w:color w:val="1F2A3A"/>
        </w:rPr>
        <w:t>labels.py</w:t>
      </w:r>
      <w:r>
        <w:rPr>
          <w:b w:val="0"/>
          <w:i w:val="0"/>
        </w:rPr>
        <w:t xml:space="preserve">, l'analyse des étiquettes et la couverture des compartiments ; </w:t>
      </w:r>
      <w:r>
        <w:rPr>
          <w:rFonts w:ascii="Consolas" w:hAnsi="Consolas" w:eastAsia="Consolas"/>
          <w:b w:val="0"/>
          <w:i w:val="0"/>
          <w:color w:val="1F2A3A"/>
        </w:rPr>
        <w:t>policy.py</w:t>
      </w:r>
      <w:r>
        <w:rPr>
          <w:b w:val="0"/>
          <w:i w:val="0"/>
        </w:rPr>
        <w:t xml:space="preserve">, l'authentification, la posture, l'ABAC, le masquage et les refus génériques. </w:t>
      </w:r>
      <w:r>
        <w:rPr>
          <w:rFonts w:ascii="Consolas" w:hAnsi="Consolas" w:eastAsia="Consolas"/>
          <w:b w:val="0"/>
          <w:i w:val="0"/>
          <w:color w:val="1F2A3A"/>
        </w:rPr>
        <w:t>sanitize.py</w:t>
      </w:r>
      <w:r>
        <w:rPr>
          <w:b w:val="0"/>
          <w:i w:val="0"/>
        </w:rPr>
        <w:t xml:space="preserve"> détecte et neutralise les injections ; </w:t>
      </w:r>
      <w:r>
        <w:rPr>
          <w:rFonts w:ascii="Consolas" w:hAnsi="Consolas" w:eastAsia="Consolas"/>
          <w:b w:val="0"/>
          <w:i w:val="0"/>
          <w:color w:val="1F2A3A"/>
        </w:rPr>
        <w:t>store.py</w:t>
      </w:r>
      <w:r>
        <w:rPr>
          <w:b w:val="0"/>
          <w:i w:val="0"/>
        </w:rPr>
        <w:t xml:space="preserve"> gère SQLite, l'ingestion et la lecture seule ; </w:t>
      </w:r>
      <w:r>
        <w:rPr>
          <w:rFonts w:ascii="Consolas" w:hAnsi="Consolas" w:eastAsia="Consolas"/>
          <w:b w:val="0"/>
          <w:i w:val="0"/>
          <w:color w:val="1F2A3A"/>
        </w:rPr>
        <w:t>intel.py</w:t>
      </w:r>
      <w:r>
        <w:rPr>
          <w:b w:val="0"/>
          <w:i w:val="0"/>
        </w:rPr>
        <w:t xml:space="preserve"> l'enrichissement, la décroissance de confiance, la corrélation et le score ; </w:t>
      </w:r>
      <w:r>
        <w:rPr>
          <w:rFonts w:ascii="Consolas" w:hAnsi="Consolas" w:eastAsia="Consolas"/>
          <w:b w:val="0"/>
          <w:i w:val="0"/>
          <w:color w:val="1F2A3A"/>
        </w:rPr>
        <w:t>tools.py</w:t>
      </w:r>
      <w:r>
        <w:rPr>
          <w:b w:val="0"/>
          <w:i w:val="0"/>
        </w:rPr>
        <w:t xml:space="preserve"> expose les six outils et leurs schémas stricts ; </w:t>
      </w:r>
      <w:r>
        <w:rPr>
          <w:rFonts w:ascii="Consolas" w:hAnsi="Consolas" w:eastAsia="Consolas"/>
          <w:b w:val="0"/>
          <w:i w:val="0"/>
          <w:color w:val="1F2A3A"/>
        </w:rPr>
        <w:t>server.py</w:t>
      </w:r>
      <w:r>
        <w:rPr>
          <w:b w:val="0"/>
          <w:i w:val="0"/>
        </w:rPr>
        <w:t xml:space="preserve"> porte la boucle MCP, le limiteur, l'audit, les ressources et le fail-closed ; </w:t>
      </w:r>
      <w:r>
        <w:rPr>
          <w:rFonts w:ascii="Consolas" w:hAnsi="Consolas" w:eastAsia="Consolas"/>
          <w:b w:val="0"/>
          <w:i w:val="0"/>
          <w:color w:val="1F2A3A"/>
        </w:rPr>
        <w:t>audit.py</w:t>
      </w:r>
      <w:r>
        <w:rPr>
          <w:b w:val="0"/>
          <w:i w:val="0"/>
        </w:rPr>
        <w:t xml:space="preserve"> tient le journal append-only et sa chaîne ; </w:t>
      </w:r>
      <w:r>
        <w:rPr>
          <w:rFonts w:ascii="Consolas" w:hAnsi="Consolas" w:eastAsia="Consolas"/>
          <w:b w:val="0"/>
          <w:i w:val="0"/>
          <w:color w:val="1F2A3A"/>
        </w:rPr>
        <w:t>ti_cli.py</w:t>
      </w:r>
      <w:r>
        <w:rPr>
          <w:b w:val="0"/>
          <w:i w:val="0"/>
        </w:rPr>
        <w:t xml:space="preserve"> fournit l'initialisation, les jetons, la révocation, l'audit et les statistiques. Tous ces modules sont </w:t>
      </w:r>
      <w:r>
        <w:rPr>
          <w:b/>
          <w:i w:val="0"/>
        </w:rPr>
        <w:t>testés</w:t>
      </w:r>
      <w:r>
        <w:rPr>
          <w:b w:val="0"/>
          <w:i w:val="0"/>
        </w:rPr>
        <w:t xml:space="preserve"> au 27 octobre 2026.</w:t>
      </w:r>
    </w:p>
    <w:p>
      <w:pPr>
        <w:keepNext w:val="0"/>
      </w:pPr>
      <w:r>
        <w:rPr>
          <w:b w:val="0"/>
          <w:i w:val="0"/>
        </w:rPr>
        <w:t>Cette séparation n'est pas de l'architecture décorative : elle permet de tester un contrôle sans démarrer tout le serveur, et de montrer au jury un fichier précis pour chaque exigence.</w:t>
      </w:r>
    </w:p>
    <w:p>
      <w:pPr>
        <w:pStyle w:val="Heading2"/>
      </w:pPr>
      <w:r>
        <w:rPr>
          <w:rFonts w:ascii="Calibri" w:hAnsi="Calibri" w:eastAsia="Calibri"/>
          <w:b/>
          <w:color w:val="2F6DB3"/>
          <w:sz w:val="28"/>
        </w:rPr>
        <w:t>4.7 Environnement de travail vérifié</w:t>
      </w:r>
    </w:p>
    <w:p>
      <w:pPr>
        <w:keepNext w:val="0"/>
      </w:pPr>
      <w:r>
        <w:rPr>
          <w:b w:val="0"/>
          <w:i w:val="0"/>
        </w:rPr>
        <w:t>Les prérequis ne sont pas déclarés : ils sont vérifiés par une commande et recopiés ci-dessous avec leur sortie observée le 27 octobre 2026. Si une version change, la colonne « observé » doit être revalidée.</w:t>
      </w:r>
    </w:p>
    <w:p>
      <w:pPr>
        <w:keepNext w:val="0"/>
      </w:pPr>
      <w:r>
        <w:rPr>
          <w:b w:val="0"/>
          <w:i w:val="0"/>
        </w:rPr>
        <w:t xml:space="preserve">Les prérequis ont été vérifiés par commande le 27 octobre 2026. </w:t>
      </w:r>
      <w:r>
        <w:rPr>
          <w:rFonts w:ascii="Consolas" w:hAnsi="Consolas" w:eastAsia="Consolas"/>
          <w:b w:val="0"/>
          <w:i w:val="0"/>
          <w:color w:val="1F2A3A"/>
        </w:rPr>
        <w:t>python3 --version</w:t>
      </w:r>
      <w:r>
        <w:rPr>
          <w:b w:val="0"/>
          <w:i w:val="0"/>
        </w:rPr>
        <w:t xml:space="preserve"> renvoie Python 3.14.4 ; SQLite est en 3.46.1 ; </w:t>
      </w:r>
      <w:r>
        <w:rPr>
          <w:rFonts w:ascii="Consolas" w:hAnsi="Consolas" w:eastAsia="Consolas"/>
          <w:b w:val="0"/>
          <w:i w:val="0"/>
          <w:color w:val="1F2A3A"/>
        </w:rPr>
        <w:t>nobody</w:t>
      </w:r>
      <w:r>
        <w:rPr>
          <w:b w:val="0"/>
          <w:i w:val="0"/>
        </w:rPr>
        <w:t xml:space="preserve"> a l'uid 65534 et </w:t>
      </w:r>
      <w:r>
        <w:rPr>
          <w:rFonts w:ascii="Consolas" w:hAnsi="Consolas" w:eastAsia="Consolas"/>
          <w:b w:val="0"/>
          <w:i w:val="0"/>
          <w:color w:val="1F2A3A"/>
        </w:rPr>
        <w:t>setpriv</w:t>
      </w:r>
      <w:r>
        <w:rPr>
          <w:b w:val="0"/>
          <w:i w:val="0"/>
        </w:rPr>
        <w:t xml:space="preserve"> est présent ; </w:t>
      </w:r>
      <w:r>
        <w:rPr>
          <w:rFonts w:ascii="Consolas" w:hAnsi="Consolas" w:eastAsia="Consolas"/>
          <w:b w:val="0"/>
          <w:i w:val="0"/>
          <w:color w:val="1F2A3A"/>
        </w:rPr>
        <w:t>TI_DB=... python3 src/ti_cli.py stats</w:t>
      </w:r>
      <w:r>
        <w:rPr>
          <w:b w:val="0"/>
          <w:i w:val="0"/>
        </w:rPr>
        <w:t xml:space="preserve"> compte 12 bulletins, 30 IOC et 6 actifs ; </w:t>
      </w:r>
      <w:r>
        <w:rPr>
          <w:rFonts w:ascii="Consolas" w:hAnsi="Consolas" w:eastAsia="Consolas"/>
          <w:b w:val="0"/>
          <w:i w:val="0"/>
          <w:color w:val="1F2A3A"/>
        </w:rPr>
        <w:t>verify-audit</w:t>
      </w:r>
      <w:r>
        <w:rPr>
          <w:b w:val="0"/>
          <w:i w:val="0"/>
        </w:rPr>
        <w:t xml:space="preserve"> renvoie </w:t>
      </w:r>
      <w:r>
        <w:rPr>
          <w:rFonts w:ascii="Consolas" w:hAnsi="Consolas" w:eastAsia="Consolas"/>
          <w:b w:val="0"/>
          <w:i w:val="0"/>
          <w:color w:val="1F2A3A"/>
        </w:rPr>
        <w:t>ok=true</w:t>
      </w:r>
      <w:r>
        <w:rPr>
          <w:b w:val="0"/>
          <w:i w:val="0"/>
        </w:rPr>
        <w:t xml:space="preserve"> sur 116 entrées. Ces sorties proviennent du conteneur WSL2 (noyau 6.18.54.1-microsoft-standard-WSL2, LibreOffice 26.2.6.3, poppler 26.01.0) ; si une version change, la valeur observée doit être revalidée.</w:t>
      </w:r>
    </w:p>
    <w:p>
      <w:pPr>
        <w:keepNext w:val="0"/>
      </w:pPr>
      <w:r>
        <w:rPr>
          <w:b w:val="0"/>
          <w:i w:val="0"/>
        </w:rPr>
        <w:t xml:space="preserve">Une nuance importante : les modes affichés pour la base et la clé ci-dessus sont ceux de l'état de travail (640/600, propriétaire root). Le test N15 recopie les fichiers, les passe en 0440/0400 et lance le serveur sous </w:t>
      </w:r>
      <w:r>
        <w:rPr>
          <w:rFonts w:ascii="Consolas" w:hAnsi="Consolas" w:eastAsia="Consolas"/>
          <w:b w:val="0"/>
          <w:i w:val="0"/>
          <w:color w:val="1F2A3A"/>
        </w:rPr>
        <w:t>nobody</w:t>
      </w:r>
      <w:r>
        <w:rPr>
          <w:b w:val="0"/>
          <w:i w:val="0"/>
        </w:rPr>
        <w:t xml:space="preserve"> ; c'est cette exécution qui prouve le moindre privilège. Nous ne confondons pas l'état de travail et l'état durci.</w:t>
      </w:r>
    </w:p>
    <w:p>
      <w:pPr>
        <w:pStyle w:val="Heading2"/>
      </w:pPr>
      <w:r>
        <w:rPr>
          <w:rFonts w:ascii="Calibri" w:hAnsi="Calibri" w:eastAsia="Calibri"/>
          <w:b/>
          <w:color w:val="2F6DB3"/>
          <w:sz w:val="28"/>
        </w:rPr>
        <w:t>4.8 Méthodologie par jalons et validations</w:t>
      </w:r>
    </w:p>
    <w:p>
      <w:pPr>
        <w:keepNext w:val="0"/>
      </w:pPr>
      <w:r>
        <w:rPr>
          <w:b w:val="0"/>
          <w:i w:val="0"/>
        </w:rPr>
        <w:t xml:space="preserve">Le projet a suivi sept jalons (J0 à J6) alignés sur les deux validations. </w:t>
      </w:r>
      <w:r>
        <w:rPr>
          <w:b/>
          <w:i w:val="0"/>
        </w:rPr>
        <w:t>J0</w:t>
      </w:r>
      <w:r>
        <w:rPr>
          <w:b w:val="0"/>
          <w:i w:val="0"/>
        </w:rPr>
        <w:t xml:space="preserve"> cadre le problème, les parties prenantes, le périmètre, les objectifs, les contraintes et la thèse. </w:t>
      </w:r>
      <w:r>
        <w:rPr>
          <w:b/>
          <w:i w:val="0"/>
        </w:rPr>
        <w:t>J1</w:t>
      </w:r>
      <w:r>
        <w:rPr>
          <w:b w:val="0"/>
          <w:i w:val="0"/>
        </w:rPr>
        <w:t xml:space="preserve"> construit le modèle de menace, les risques R01–R10 et les exigences EF/ENF. </w:t>
      </w:r>
      <w:r>
        <w:rPr>
          <w:b/>
          <w:i w:val="0"/>
        </w:rPr>
        <w:t>J2</w:t>
      </w:r>
      <w:r>
        <w:rPr>
          <w:b w:val="0"/>
          <w:i w:val="0"/>
        </w:rPr>
        <w:t xml:space="preserve"> compare quatre candidats et justifie C4. </w:t>
      </w:r>
      <w:r>
        <w:rPr>
          <w:b/>
          <w:i w:val="0"/>
        </w:rPr>
        <w:t>J3</w:t>
      </w:r>
      <w:r>
        <w:rPr>
          <w:b w:val="0"/>
          <w:i w:val="0"/>
        </w:rPr>
        <w:t xml:space="preserve"> fixe l'architecture : zones, étiquettes, parcours, CP1–CP8, journal et composants, et passe la validation 1. </w:t>
      </w:r>
      <w:r>
        <w:rPr>
          <w:b/>
          <w:i w:val="0"/>
        </w:rPr>
        <w:t>J4</w:t>
      </w:r>
      <w:r>
        <w:rPr>
          <w:b w:val="0"/>
          <w:i w:val="0"/>
        </w:rPr>
        <w:t xml:space="preserve"> réalise le serveur, les six outils, l'ABAC, l'audit, la CLI et les données synthétiques. </w:t>
      </w:r>
      <w:r>
        <w:rPr>
          <w:b/>
          <w:i w:val="0"/>
        </w:rPr>
        <w:t>J5</w:t>
      </w:r>
      <w:r>
        <w:rPr>
          <w:b w:val="0"/>
          <w:i w:val="0"/>
        </w:rPr>
        <w:t xml:space="preserve"> durcit et exécute la campagne de 31 scénarios avec captures, métriques et comparatif avant/après. </w:t>
      </w:r>
      <w:r>
        <w:rPr>
          <w:b/>
          <w:i w:val="0"/>
        </w:rPr>
        <w:t>J6</w:t>
      </w:r>
      <w:r>
        <w:rPr>
          <w:b w:val="0"/>
          <w:i w:val="0"/>
        </w:rPr>
        <w:t xml:space="preserve"> produit le rapport, le deck, le conducteur et la note. Chaque jalon a un livrable vérifiable et ne commence pas si le précédent n'est pas relu.</w:t>
      </w:r>
    </w:p>
    <w:p>
      <w:pPr>
        <w:pStyle w:val="Heading2"/>
      </w:pPr>
      <w:r>
        <w:rPr>
          <w:rFonts w:ascii="Calibri" w:hAnsi="Calibri" w:eastAsia="Calibri"/>
          <w:b/>
          <w:color w:val="2F6DB3"/>
          <w:sz w:val="28"/>
        </w:rPr>
        <w:t>4.9 Checklist de validation 1</w:t>
      </w:r>
    </w:p>
    <w:p>
      <w:pPr>
        <w:keepNext w:val="0"/>
      </w:pPr>
      <w:r>
        <w:rPr>
          <w:b w:val="0"/>
          <w:i w:val="0"/>
        </w:rPr>
        <w:t>La validation 1 ne demande pas de démonstration d'exécution : elle demande une architecture défendable. Les points attendus se lisent directement dans le plan : problème chiffré et périmètre (§1.1–1.5), actifs et risques notés P × I (§2.1–2.3), exigences EF/ENF et lecture croisée (§2.4–2.6), comparatif pondéré et sensibilité (§3.1–3.4), architecture en zones, étiquettes, parcours, CP1–CP8 et journal (§4.1–4.6), environnement vérifié et jalons (§4.7–4.8). Chaque point renvoie à une section et à une preuve du chapitre 6, ce qui permet au jury de vérifier sans parcourir tout le rapport.</w:t>
      </w:r>
    </w:p>
    <w:tbl>
      <w:tblPr>
        <w:tblW w:type="auto" w:w="0"/>
        <w:jc w:val="center"/>
        <w:tblLayout w:type="fixed"/>
        <w:tblLook w:firstColumn="1" w:firstRow="1" w:lastColumn="0" w:lastRow="0" w:noHBand="0" w:noVBand="1" w:val="04A0"/>
        <w:tblCellMar>
          <w:top w:w="90" w:type="dxa"/>
          <w:left w:w="140" w:type="dxa"/>
          <w:bottom w:w="90" w:type="dxa"/>
          <w:right w:w="140" w:type="dxa"/>
        </w:tblCellMar>
      </w:tblPr>
      <w:tblGrid>
        <w:gridCol w:w="9638"/>
      </w:tblGrid>
      <w:tr>
        <w:tc>
          <w:tcPr>
            <w:tcW w:type="dxa" w:w="9411"/>
            <w:shd w:val="clear" w:color="auto" w:fill="E7F2EC"/>
            <w:tcBorders>
              <w:top w:val="nil"/>
              <w:bottom w:val="nil"/>
              <w:right w:val="nil"/>
              <w:left w:val="single" w:sz="18" w:color="2C7A5B"/>
            </w:tcBorders>
          </w:tcPr>
          <w:p>
            <w:pPr>
              <w:spacing w:after="40"/>
            </w:pPr>
            <w:r>
              <w:rPr>
                <w:rFonts w:ascii="Calibri" w:hAnsi="Calibri" w:eastAsia="Calibri"/>
                <w:b/>
                <w:color w:val="10243F"/>
                <w:sz w:val="19"/>
              </w:rPr>
              <w:t>Validation 1 — statut</w:t>
            </w:r>
          </w:p>
          <w:p>
            <w:pPr>
              <w:spacing w:after="0"/>
            </w:pPr>
            <w:r>
              <w:rPr>
                <w:b w:val="0"/>
                <w:i w:val="0"/>
                <w:sz w:val="19"/>
              </w:rPr>
              <w:t>L'architecture est complète, cohérente avec les risques et prête à être défendue. Les points ouverts sont explicitement listés : agent EDR réel non raccordé, ancrage externe du journal non réalisé, transport HTTP/OAuth non implémenté. Aucun de ces points n'est nécessaire pour démontrer la protection du secret dans le laboratoire.</w:t>
            </w:r>
          </w:p>
        </w:tc>
      </w:tr>
    </w:tbl>
    <w:p>
      <w:pPr>
        <w:pStyle w:val="Heading1"/>
        <w:pageBreakBefore/>
        <w:pBdr>
          <w:bottom w:val="single" w:sz="12" w:space="4" w:color="B08A3E"/>
        </w:pBdr>
        <w:spacing w:before="1800" w:after="160"/>
      </w:pPr>
      <w:r>
        <w:rPr>
          <w:rFonts w:ascii="Calibri" w:hAnsi="Calibri" w:eastAsia="Calibri"/>
          <w:b/>
          <w:color w:val="10243F"/>
          <w:sz w:val="48"/>
        </w:rPr>
        <w:t>Partie II — Cyber OPS</w:t>
      </w:r>
    </w:p>
    <w:p>
      <w:pPr>
        <w:spacing w:before="160" w:after="480"/>
      </w:pPr>
      <w:r>
        <w:rPr>
          <w:rFonts w:ascii="Calibri" w:hAnsi="Calibri" w:eastAsia="Calibri"/>
          <w:i/>
          <w:color w:val="5B6577"/>
          <w:sz w:val="23"/>
        </w:rPr>
        <w:t>Réalisation, durcissement, tests de bout en bout et preuves : de l'architecture au serveur qui tourne.</w:t>
      </w:r>
    </w:p>
    <w:p>
      <w:pPr>
        <w:keepNext w:val="0"/>
      </w:pPr>
      <w:r>
        <w:rPr>
          <w:b w:val="0"/>
          <w:i w:val="0"/>
        </w:rPr>
        <w:t>Cette partie ne raconte pas une installation idéale. Elle raconte ce qui a été exécuté, dans l'ordre, avec les commandes, les sorties et les échecs. Le serveur tourne sous WSL2, sans réseau sortant, avec des données synthétiques. Les tests sont rejouables et les captures proviennent des sorties. Quand quelque chose n'a pas été testé, nous l'écrivons.</w:t>
      </w:r>
    </w:p>
    <w:p>
      <w:pPr>
        <w:pStyle w:val="Heading1"/>
      </w:pPr>
      <w:r>
        <w:rPr>
          <w:rFonts w:ascii="Calibri" w:hAnsi="Calibri" w:eastAsia="Calibri"/>
          <w:b/>
          <w:color w:val="10243F"/>
          <w:sz w:val="34"/>
        </w:rPr>
        <w:t>5. P4 — Réalisation, configuration et durcissement</w:t>
      </w:r>
    </w:p>
    <w:p>
      <w:pPr>
        <w:keepNext w:val="0"/>
      </w:pPr>
      <w:r>
        <w:rPr>
          <w:b w:val="0"/>
          <w:i w:val="0"/>
        </w:rPr>
        <w:t>La réalisation a suivi l'architecture, module par module, en gardant le serveur exécutable à chaque étape. Nous avons d'abord fait fonctionner le canal MCP et les six outils, puis ajouté les contrôles dans l'ordre du chemin de réponse : authentification, décision, validation, assainissement, enveloppe, audit. Le durcissement est venu ensuite, sans changer les contrats d'outil.</w:t>
      </w:r>
    </w:p>
    <w:p>
      <w:pPr>
        <w:pStyle w:val="Heading2"/>
      </w:pPr>
      <w:r>
        <w:rPr>
          <w:rFonts w:ascii="Calibri" w:hAnsi="Calibri" w:eastAsia="Calibri"/>
          <w:b/>
          <w:color w:val="2F6DB3"/>
          <w:sz w:val="28"/>
        </w:rPr>
        <w:t>5.1 Journal horodaté de la réalisation</w:t>
      </w:r>
    </w:p>
    <w:p>
      <w:pPr>
        <w:keepNext w:val="0"/>
      </w:pPr>
      <w:r>
        <w:rPr>
          <w:b w:val="0"/>
          <w:i w:val="0"/>
        </w:rPr>
        <w:t>Le journal ci-dessous reprend les étapes réelles, avec l'heure locale du laboratoire et la preuve associée. Il ne s'agit pas d'un planning théorique : les heures correspondent aux fichiers produits et aux exécutions conservées. L'échec de 13:14 est volontairement présent ; il est analysé au chapitre 6.</w:t>
      </w:r>
    </w:p>
    <w:p>
      <w:pPr>
        <w:keepNext w:val="0"/>
      </w:pPr>
      <w:r>
        <w:rPr>
          <w:b w:val="0"/>
          <w:i w:val="0"/>
        </w:rPr>
        <w:t xml:space="preserve">Les étapes réelles, avec l'heure locale et la preuve associée : </w:t>
      </w:r>
      <w:r>
        <w:rPr>
          <w:b/>
          <w:i w:val="0"/>
        </w:rPr>
        <w:t>12:40</w:t>
      </w:r>
      <w:r>
        <w:rPr>
          <w:b w:val="0"/>
          <w:i w:val="0"/>
        </w:rPr>
        <w:t xml:space="preserve"> arborescence et configuration (</w:t>
      </w:r>
      <w:r>
        <w:rPr>
          <w:rFonts w:ascii="Consolas" w:hAnsi="Consolas" w:eastAsia="Consolas"/>
          <w:b w:val="0"/>
          <w:i w:val="0"/>
          <w:color w:val="1F2A3A"/>
        </w:rPr>
        <w:t>config.py</w:t>
      </w:r>
      <w:r>
        <w:rPr>
          <w:b w:val="0"/>
          <w:i w:val="0"/>
        </w:rPr>
        <w:t xml:space="preserve">, </w:t>
      </w:r>
      <w:r>
        <w:rPr>
          <w:rFonts w:ascii="Consolas" w:hAnsi="Consolas" w:eastAsia="Consolas"/>
          <w:b w:val="0"/>
          <w:i w:val="0"/>
          <w:color w:val="1F2A3A"/>
        </w:rPr>
        <w:t>labels.py</w:t>
      </w:r>
      <w:r>
        <w:rPr>
          <w:b w:val="0"/>
          <w:i w:val="0"/>
        </w:rPr>
        <w:t xml:space="preserve">) ; </w:t>
      </w:r>
      <w:r>
        <w:rPr>
          <w:b/>
          <w:i w:val="0"/>
        </w:rPr>
        <w:t>12:52</w:t>
      </w:r>
      <w:r>
        <w:rPr>
          <w:b w:val="0"/>
          <w:i w:val="0"/>
        </w:rPr>
        <w:t xml:space="preserve"> données synthétiques (12 bulletins, 30 IOC, 6 actifs, 2 canaris, 1 injection) ; </w:t>
      </w:r>
      <w:r>
        <w:rPr>
          <w:b/>
          <w:i w:val="0"/>
        </w:rPr>
        <w:t>13:02</w:t>
      </w:r>
      <w:r>
        <w:rPr>
          <w:b w:val="0"/>
          <w:i w:val="0"/>
        </w:rPr>
        <w:t xml:space="preserve"> boucle stdio, </w:t>
      </w:r>
      <w:r>
        <w:rPr>
          <w:rFonts w:ascii="Consolas" w:hAnsi="Consolas" w:eastAsia="Consolas"/>
          <w:b w:val="0"/>
          <w:i w:val="0"/>
          <w:color w:val="1F2A3A"/>
        </w:rPr>
        <w:t>initialize</w:t>
      </w:r>
      <w:r>
        <w:rPr>
          <w:b w:val="0"/>
          <w:i w:val="0"/>
        </w:rPr>
        <w:t xml:space="preserve">, </w:t>
      </w:r>
      <w:r>
        <w:rPr>
          <w:rFonts w:ascii="Consolas" w:hAnsi="Consolas" w:eastAsia="Consolas"/>
          <w:b w:val="0"/>
          <w:i w:val="0"/>
          <w:color w:val="1F2A3A"/>
        </w:rPr>
        <w:t>tools/list</w:t>
      </w:r>
      <w:r>
        <w:rPr>
          <w:b w:val="0"/>
          <w:i w:val="0"/>
        </w:rPr>
        <w:t xml:space="preserve"> et six outils ; </w:t>
      </w:r>
      <w:r>
        <w:rPr>
          <w:b/>
          <w:i w:val="0"/>
        </w:rPr>
        <w:t>13:08</w:t>
      </w:r>
      <w:r>
        <w:rPr>
          <w:b w:val="0"/>
          <w:i w:val="0"/>
        </w:rPr>
        <w:t xml:space="preserve"> premiers tests, avec un échec réel de l'audit sur la deuxième écriture ; </w:t>
      </w:r>
      <w:r>
        <w:rPr>
          <w:b/>
          <w:i w:val="0"/>
        </w:rPr>
        <w:t>13:14</w:t>
      </w:r>
      <w:r>
        <w:rPr>
          <w:b w:val="0"/>
          <w:i w:val="0"/>
        </w:rPr>
        <w:t xml:space="preserve"> correction du décodage UTF-8 sur un flux texte dans </w:t>
      </w:r>
      <w:r>
        <w:rPr>
          <w:rFonts w:ascii="Consolas" w:hAnsi="Consolas" w:eastAsia="Consolas"/>
          <w:b w:val="0"/>
          <w:i w:val="0"/>
          <w:color w:val="1F2A3A"/>
        </w:rPr>
        <w:t>audit._last</w:t>
      </w:r>
      <w:r>
        <w:rPr>
          <w:b w:val="0"/>
          <w:i w:val="0"/>
        </w:rPr>
        <w:t xml:space="preserve"> ; </w:t>
      </w:r>
      <w:r>
        <w:rPr>
          <w:b/>
          <w:i w:val="0"/>
        </w:rPr>
        <w:t>13:16</w:t>
      </w:r>
      <w:r>
        <w:rPr>
          <w:b w:val="0"/>
          <w:i w:val="0"/>
        </w:rPr>
        <w:t xml:space="preserve"> campagne complète (31/31, 16/16 abus, p95 12,42 ms) ; </w:t>
      </w:r>
      <w:r>
        <w:rPr>
          <w:b/>
          <w:i w:val="0"/>
        </w:rPr>
        <w:t>13:21</w:t>
      </w:r>
      <w:r>
        <w:rPr>
          <w:b w:val="0"/>
          <w:i w:val="0"/>
        </w:rPr>
        <w:t xml:space="preserve"> démonstration isolée (fuite bloquée, Secret autorisé, injection neutralisée) ; </w:t>
      </w:r>
      <w:r>
        <w:rPr>
          <w:b/>
          <w:i w:val="0"/>
        </w:rPr>
        <w:t>14:21</w:t>
      </w:r>
      <w:r>
        <w:rPr>
          <w:b w:val="0"/>
          <w:i w:val="0"/>
        </w:rPr>
        <w:t xml:space="preserve"> huit captures et six figures ; </w:t>
      </w:r>
      <w:r>
        <w:rPr>
          <w:b/>
          <w:i w:val="0"/>
        </w:rPr>
        <w:t>14:40</w:t>
      </w:r>
      <w:r>
        <w:rPr>
          <w:b w:val="0"/>
          <w:i w:val="0"/>
        </w:rPr>
        <w:t xml:space="preserve"> rapport, deck et conducteur. Les heures correspondent aux fichiers de preuve conservés ; l'échec de 13:14 est volontairement présent et analysé au chapitre 6.</w:t>
      </w:r>
    </w:p>
    <w:p>
      <w:pPr>
        <w:pStyle w:val="Heading2"/>
      </w:pPr>
      <w:r>
        <w:rPr>
          <w:rFonts w:ascii="Calibri" w:hAnsi="Calibri" w:eastAsia="Calibri"/>
          <w:b/>
          <w:color w:val="2F6DB3"/>
          <w:sz w:val="28"/>
        </w:rPr>
        <w:t>5.2 Installation et configuration</w:t>
      </w:r>
    </w:p>
    <w:p>
      <w:pPr>
        <w:keepNext w:val="0"/>
      </w:pPr>
      <w:r>
        <w:rPr>
          <w:b w:val="0"/>
          <w:i w:val="0"/>
        </w:rPr>
        <w:t>Le serveur n'a aucune dépendance d'exécution. Cette propriété est vérifiée par l'analyse statique des imports et par l'absence de client HTTP. Le venv ne sert qu'aux outils de document (python-docx, python-pptx, Pillow, matplotlib, pypdf) ; il n'est pas utilisé par le serveur. La procédure ci-dessous part d'un poste WSL2 vierge et produit le laboratoire de tests.</w:t>
      </w:r>
    </w:p>
    <w:p>
      <w:pPr>
        <w:pStyle w:val="Code"/>
        <w:pBdr>
          <w:left w:val="single" w:sz="12" w:space="4" w:color="2F6DB3"/>
        </w:pBdr>
        <w:shd w:val="clear" w:color="auto" w:fill="F4F6F9"/>
      </w:pPr>
      <w:r>
        <w:rPr>
          <w:rFonts w:ascii="Consolas" w:hAnsi="Consolas" w:eastAsia="Consolas"/>
          <w:color w:val="1F2A3A"/>
          <w:sz w:val="17"/>
        </w:rPr>
        <w:t>cd /root/tekup-mcp-ti</w:t>
      </w:r>
    </w:p>
    <w:p>
      <w:pPr>
        <w:pStyle w:val="Code"/>
        <w:pBdr>
          <w:left w:val="single" w:sz="12" w:space="4" w:color="2F6DB3"/>
        </w:pBdr>
        <w:shd w:val="clear" w:color="auto" w:fill="F4F6F9"/>
      </w:pPr>
      <w:r>
        <w:rPr>
          <w:rFonts w:ascii="Consolas" w:hAnsi="Consolas" w:eastAsia="Consolas"/>
          <w:color w:val="1F2A3A"/>
          <w:sz w:val="17"/>
        </w:rPr>
        <w:t>python3 --version                      # Python 3.14.4</w:t>
      </w:r>
    </w:p>
    <w:p>
      <w:pPr>
        <w:pStyle w:val="Code"/>
        <w:pBdr>
          <w:left w:val="single" w:sz="12" w:space="4" w:color="2F6DB3"/>
        </w:pBdr>
        <w:shd w:val="clear" w:color="auto" w:fill="F4F6F9"/>
      </w:pPr>
      <w:r>
        <w:rPr>
          <w:rFonts w:ascii="Consolas" w:hAnsi="Consolas" w:eastAsia="Consolas"/>
          <w:color w:val="1F2A3A"/>
          <w:sz w:val="17"/>
        </w:rPr>
        <w:t>export TI_HOME=$PWD</w:t>
      </w:r>
    </w:p>
    <w:p>
      <w:pPr>
        <w:pStyle w:val="Code"/>
        <w:pBdr>
          <w:left w:val="single" w:sz="12" w:space="4" w:color="2F6DB3"/>
        </w:pBdr>
        <w:shd w:val="clear" w:color="auto" w:fill="F4F6F9"/>
      </w:pPr>
      <w:r>
        <w:rPr>
          <w:rFonts w:ascii="Consolas" w:hAnsi="Consolas" w:eastAsia="Consolas"/>
          <w:color w:val="1F2A3A"/>
          <w:sz w:val="17"/>
        </w:rPr>
        <w:t>export TI_DATA=$PWD/data</w:t>
      </w:r>
    </w:p>
    <w:p>
      <w:pPr>
        <w:pStyle w:val="Code"/>
        <w:pBdr>
          <w:left w:val="single" w:sz="12" w:space="4" w:color="2F6DB3"/>
        </w:pBdr>
        <w:shd w:val="clear" w:color="auto" w:fill="F4F6F9"/>
      </w:pPr>
      <w:r>
        <w:rPr>
          <w:rFonts w:ascii="Consolas" w:hAnsi="Consolas" w:eastAsia="Consolas"/>
          <w:color w:val="1F2A3A"/>
          <w:sz w:val="17"/>
        </w:rPr>
        <w:t>export TI_DB=$PWD/preuves/lab/ti.db</w:t>
      </w:r>
    </w:p>
    <w:p>
      <w:pPr>
        <w:pStyle w:val="Code"/>
        <w:pBdr>
          <w:left w:val="single" w:sz="12" w:space="4" w:color="2F6DB3"/>
        </w:pBdr>
        <w:shd w:val="clear" w:color="auto" w:fill="F4F6F9"/>
      </w:pPr>
      <w:r>
        <w:rPr>
          <w:rFonts w:ascii="Consolas" w:hAnsi="Consolas" w:eastAsia="Consolas"/>
          <w:color w:val="1F2A3A"/>
          <w:sz w:val="17"/>
        </w:rPr>
        <w:t>export TI_KEY_PATH=$PWD/preuves/lab/token.key</w:t>
      </w:r>
    </w:p>
    <w:p>
      <w:pPr>
        <w:pStyle w:val="Code"/>
        <w:pBdr>
          <w:left w:val="single" w:sz="12" w:space="4" w:color="2F6DB3"/>
        </w:pBdr>
        <w:shd w:val="clear" w:color="auto" w:fill="F4F6F9"/>
      </w:pPr>
      <w:r>
        <w:rPr>
          <w:rFonts w:ascii="Consolas" w:hAnsi="Consolas" w:eastAsia="Consolas"/>
          <w:color w:val="1F2A3A"/>
          <w:sz w:val="17"/>
        </w:rPr>
        <w:t>export TI_AUDIT=$PWD/preuves/lab/audit.jsonl</w:t>
      </w:r>
    </w:p>
    <w:p>
      <w:pPr>
        <w:pStyle w:val="Code"/>
        <w:pBdr>
          <w:left w:val="single" w:sz="12" w:space="4" w:color="2F6DB3"/>
        </w:pBdr>
        <w:shd w:val="clear" w:color="auto" w:fill="F4F6F9"/>
      </w:pPr>
      <w:r>
        <w:rPr>
          <w:rFonts w:ascii="Consolas" w:hAnsi="Consolas" w:eastAsia="Consolas"/>
          <w:color w:val="1F2A3A"/>
          <w:sz w:val="17"/>
        </w:rPr>
        <w:t>python3 src/ti_cli.py init-db --force</w:t>
      </w:r>
    </w:p>
    <w:p>
      <w:pPr>
        <w:pStyle w:val="Code"/>
        <w:pBdr>
          <w:left w:val="single" w:sz="12" w:space="4" w:color="2F6DB3"/>
        </w:pBdr>
        <w:shd w:val="clear" w:color="auto" w:fill="F4F6F9"/>
      </w:pPr>
      <w:r>
        <w:rPr>
          <w:rFonts w:ascii="Consolas" w:hAnsi="Consolas" w:eastAsia="Consolas"/>
          <w:color w:val="1F2A3A"/>
          <w:sz w:val="17"/>
        </w:rPr>
        <w:t>python3 src/ti_cli.py stats</w:t>
      </w:r>
    </w:p>
    <w:p>
      <w:pPr>
        <w:pStyle w:val="Code"/>
        <w:pBdr>
          <w:left w:val="single" w:sz="12" w:space="4" w:color="2F6DB3"/>
        </w:pBdr>
        <w:shd w:val="clear" w:color="auto" w:fill="F4F6F9"/>
      </w:pPr>
      <w:r>
        <w:rPr>
          <w:rFonts w:ascii="Consolas" w:hAnsi="Consolas" w:eastAsia="Consolas"/>
          <w:color w:val="1F2A3A"/>
          <w:sz w:val="17"/>
        </w:rPr>
        <w:t>python3 src/ti_cli.py verify-audit --path preuves/lab/audit.jsonl</w:t>
      </w:r>
    </w:p>
    <w:p>
      <w:pPr>
        <w:keepNext w:val="0"/>
      </w:pPr>
      <w:r>
        <w:rPr>
          <w:b w:val="0"/>
          <w:i w:val="0"/>
        </w:rPr>
        <w:t xml:space="preserve">La sortie observée de </w:t>
      </w:r>
      <w:r>
        <w:rPr>
          <w:rFonts w:ascii="Consolas" w:hAnsi="Consolas" w:eastAsia="Consolas"/>
          <w:b w:val="0"/>
          <w:i w:val="0"/>
          <w:color w:val="1F2A3A"/>
        </w:rPr>
        <w:t>init-db</w:t>
      </w:r>
      <w:r>
        <w:rPr>
          <w:b w:val="0"/>
          <w:i w:val="0"/>
        </w:rPr>
        <w:t xml:space="preserve"> est un objet JSON avec </w:t>
      </w:r>
      <w:r>
        <w:rPr>
          <w:rFonts w:ascii="Consolas" w:hAnsi="Consolas" w:eastAsia="Consolas"/>
          <w:b w:val="0"/>
          <w:i w:val="0"/>
          <w:color w:val="1F2A3A"/>
        </w:rPr>
        <w:t>advisories: 12</w:t>
      </w:r>
      <w:r>
        <w:rPr>
          <w:b w:val="0"/>
          <w:i w:val="0"/>
        </w:rPr>
        <w:t xml:space="preserve">, </w:t>
      </w:r>
      <w:r>
        <w:rPr>
          <w:rFonts w:ascii="Consolas" w:hAnsi="Consolas" w:eastAsia="Consolas"/>
          <w:b w:val="0"/>
          <w:i w:val="0"/>
          <w:color w:val="1F2A3A"/>
        </w:rPr>
        <w:t>iocs: 30</w:t>
      </w:r>
      <w:r>
        <w:rPr>
          <w:b w:val="0"/>
          <w:i w:val="0"/>
        </w:rPr>
        <w:t xml:space="preserve">, </w:t>
      </w:r>
      <w:r>
        <w:rPr>
          <w:rFonts w:ascii="Consolas" w:hAnsi="Consolas" w:eastAsia="Consolas"/>
          <w:b w:val="0"/>
          <w:i w:val="0"/>
          <w:color w:val="1F2A3A"/>
        </w:rPr>
        <w:t>assets: 6</w:t>
      </w:r>
      <w:r>
        <w:rPr>
          <w:b w:val="0"/>
          <w:i w:val="0"/>
        </w:rPr>
        <w:t xml:space="preserve">, et la répartition 4 Public / 3 Interne / 3 Confidentiel / 2 Secret. La commande </w:t>
      </w:r>
      <w:r>
        <w:rPr>
          <w:rFonts w:ascii="Consolas" w:hAnsi="Consolas" w:eastAsia="Consolas"/>
          <w:b w:val="0"/>
          <w:i w:val="0"/>
          <w:color w:val="1F2A3A"/>
        </w:rPr>
        <w:t>stats</w:t>
      </w:r>
      <w:r>
        <w:rPr>
          <w:b w:val="0"/>
          <w:i w:val="0"/>
        </w:rPr>
        <w:t xml:space="preserve"> confirme ces volumes. La vérification d'audit renvoie </w:t>
      </w:r>
      <w:r>
        <w:rPr>
          <w:rFonts w:ascii="Consolas" w:hAnsi="Consolas" w:eastAsia="Consolas"/>
          <w:b w:val="0"/>
          <w:i w:val="0"/>
          <w:color w:val="1F2A3A"/>
        </w:rPr>
        <w:t>ok: true</w:t>
      </w:r>
      <w:r>
        <w:rPr>
          <w:b w:val="0"/>
          <w:i w:val="0"/>
        </w:rPr>
        <w:t xml:space="preserve">, </w:t>
      </w:r>
      <w:r>
        <w:rPr>
          <w:rFonts w:ascii="Consolas" w:hAnsi="Consolas" w:eastAsia="Consolas"/>
          <w:b w:val="0"/>
          <w:i w:val="0"/>
          <w:color w:val="1F2A3A"/>
        </w:rPr>
        <w:t>entries: 116</w:t>
      </w:r>
      <w:r>
        <w:rPr>
          <w:b w:val="0"/>
          <w:i w:val="0"/>
        </w:rPr>
        <w:t xml:space="preserve">, </w:t>
      </w:r>
      <w:r>
        <w:rPr>
          <w:rFonts w:ascii="Consolas" w:hAnsi="Consolas" w:eastAsia="Consolas"/>
          <w:b w:val="0"/>
          <w:i w:val="0"/>
          <w:color w:val="1F2A3A"/>
        </w:rPr>
        <w:t>broken_at: null</w:t>
      </w:r>
      <w:r>
        <w:rPr>
          <w:b w:val="0"/>
          <w:i w:val="0"/>
        </w:rPr>
        <w:t>. Ces trois sorties suffisent à savoir si le laboratoire est dans l'état attendu avant une démonstration.</w:t>
      </w:r>
    </w:p>
    <w:p>
      <w:pPr>
        <w:keepNext w:val="0"/>
      </w:pPr>
      <w:r>
        <w:rPr>
          <w:b w:val="0"/>
          <w:i w:val="0"/>
        </w:rPr>
        <w:t xml:space="preserve">L'émission d'un jeton se fait par la CLI, avec un sujet, un rôle, une habilitation, des compartiments, une finalité et une posture. Le jeton est signé en HMAC-SHA256 et stocké dans un fichier 0600. La commande </w:t>
      </w:r>
      <w:r>
        <w:rPr>
          <w:rFonts w:ascii="Consolas" w:hAnsi="Consolas" w:eastAsia="Consolas"/>
          <w:b w:val="0"/>
          <w:i w:val="0"/>
          <w:color w:val="1F2A3A"/>
        </w:rPr>
        <w:t>inspect-token</w:t>
      </w:r>
      <w:r>
        <w:rPr>
          <w:b w:val="0"/>
          <w:i w:val="0"/>
        </w:rPr>
        <w:t xml:space="preserve"> permet de vérifier les claims sans révéler la signature ; </w:t>
      </w:r>
      <w:r>
        <w:rPr>
          <w:rFonts w:ascii="Consolas" w:hAnsi="Consolas" w:eastAsia="Consolas"/>
          <w:b w:val="0"/>
          <w:i w:val="0"/>
          <w:color w:val="1F2A3A"/>
        </w:rPr>
        <w:t>revoke</w:t>
      </w:r>
      <w:r>
        <w:rPr>
          <w:b w:val="0"/>
          <w:i w:val="0"/>
        </w:rPr>
        <w:t xml:space="preserve"> ajoute le </w:t>
      </w:r>
      <w:r>
        <w:rPr>
          <w:rFonts w:ascii="Consolas" w:hAnsi="Consolas" w:eastAsia="Consolas"/>
          <w:b w:val="0"/>
          <w:i w:val="0"/>
          <w:color w:val="1F2A3A"/>
        </w:rPr>
        <w:t>jti</w:t>
      </w:r>
      <w:r>
        <w:rPr>
          <w:b w:val="0"/>
          <w:i w:val="0"/>
        </w:rPr>
        <w:t xml:space="preserve"> à la liste de révocation, relue à chaque requête.</w:t>
      </w:r>
    </w:p>
    <w:p>
      <w:pPr>
        <w:pStyle w:val="Code"/>
        <w:pBdr>
          <w:left w:val="single" w:sz="12" w:space="4" w:color="2F6DB3"/>
        </w:pBdr>
        <w:shd w:val="clear" w:color="auto" w:fill="F4F6F9"/>
      </w:pPr>
      <w:r>
        <w:rPr>
          <w:rFonts w:ascii="Consolas" w:hAnsi="Consolas" w:eastAsia="Consolas"/>
          <w:color w:val="1F2A3A"/>
          <w:sz w:val="17"/>
        </w:rPr>
        <w:t>python3 src/ti_cli.py issue-token \</w:t>
      </w:r>
    </w:p>
    <w:p>
      <w:pPr>
        <w:pStyle w:val="Code"/>
        <w:pBdr>
          <w:left w:val="single" w:sz="12" w:space="4" w:color="2F6DB3"/>
        </w:pBdr>
        <w:shd w:val="clear" w:color="auto" w:fill="F4F6F9"/>
      </w:pPr>
      <w:r>
        <w:rPr>
          <w:rFonts w:ascii="Consolas" w:hAnsi="Consolas" w:eastAsia="Consolas"/>
          <w:color w:val="1F2A3A"/>
          <w:sz w:val="17"/>
        </w:rPr>
        <w:t xml:space="preserve">  --sub agent-soc-01 --role analyst --clearance 2 \</w:t>
      </w:r>
    </w:p>
    <w:p>
      <w:pPr>
        <w:pStyle w:val="Code"/>
        <w:pBdr>
          <w:left w:val="single" w:sz="12" w:space="4" w:color="2F6DB3"/>
        </w:pBdr>
        <w:shd w:val="clear" w:color="auto" w:fill="F4F6F9"/>
      </w:pPr>
      <w:r>
        <w:rPr>
          <w:rFonts w:ascii="Consolas" w:hAnsi="Consolas" w:eastAsia="Consolas"/>
          <w:color w:val="1F2A3A"/>
          <w:sz w:val="17"/>
        </w:rPr>
        <w:t xml:space="preserve">  --compartments CTI,INC-2026-014 --purpose triage \</w:t>
      </w:r>
    </w:p>
    <w:p>
      <w:pPr>
        <w:pStyle w:val="Code"/>
        <w:pBdr>
          <w:left w:val="single" w:sz="12" w:space="4" w:color="2F6DB3"/>
        </w:pBdr>
        <w:shd w:val="clear" w:color="auto" w:fill="F4F6F9"/>
      </w:pPr>
      <w:r>
        <w:rPr>
          <w:rFonts w:ascii="Consolas" w:hAnsi="Consolas" w:eastAsia="Consolas"/>
          <w:color w:val="1F2A3A"/>
          <w:sz w:val="17"/>
        </w:rPr>
        <w:t xml:space="preserve">  --out preuves/tokens/smoke.tok</w:t>
      </w:r>
    </w:p>
    <w:p>
      <w:pPr>
        <w:pStyle w:val="Code"/>
        <w:pBdr>
          <w:left w:val="single" w:sz="12" w:space="4" w:color="2F6DB3"/>
        </w:pBdr>
        <w:shd w:val="clear" w:color="auto" w:fill="F4F6F9"/>
      </w:pPr>
      <w:r>
        <w:rPr>
          <w:rFonts w:ascii="Consolas" w:hAnsi="Consolas" w:eastAsia="Consolas"/>
          <w:color w:val="1F2A3A"/>
          <w:sz w:val="17"/>
        </w:rPr>
        <w:t>python3 src/ti_cli.py inspect-token --token-file preuves/tokens/smoke.tok</w:t>
      </w:r>
    </w:p>
    <w:p>
      <w:pPr>
        <w:pStyle w:val="Code"/>
        <w:pBdr>
          <w:left w:val="single" w:sz="12" w:space="4" w:color="2F6DB3"/>
        </w:pBdr>
        <w:shd w:val="clear" w:color="auto" w:fill="F4F6F9"/>
      </w:pPr>
      <w:r>
        <w:rPr>
          <w:rFonts w:ascii="Consolas" w:hAnsi="Consolas" w:eastAsia="Consolas"/>
          <w:color w:val="1F2A3A"/>
          <w:sz w:val="17"/>
        </w:rPr>
        <w:t>python3 src/ti_cli.py revoke --jti &lt;jti&gt;</w:t>
      </w:r>
    </w:p>
    <w:p>
      <w:pPr>
        <w:keepNext w:val="0"/>
      </w:pPr>
      <w:r>
        <w:rPr>
          <w:b w:val="0"/>
          <w:i w:val="0"/>
        </w:rPr>
        <w:t xml:space="preserve">Le serveur se lance par </w:t>
      </w:r>
      <w:r>
        <w:rPr>
          <w:rFonts w:ascii="Consolas" w:hAnsi="Consolas" w:eastAsia="Consolas"/>
          <w:b w:val="0"/>
          <w:i w:val="0"/>
          <w:color w:val="1F2A3A"/>
        </w:rPr>
        <w:t>scripts/run_server.sh</w:t>
      </w:r>
      <w:r>
        <w:rPr>
          <w:b w:val="0"/>
          <w:i w:val="0"/>
        </w:rPr>
        <w:t xml:space="preserve">, qui fixe </w:t>
      </w:r>
      <w:r>
        <w:rPr>
          <w:rFonts w:ascii="Consolas" w:hAnsi="Consolas" w:eastAsia="Consolas"/>
          <w:b w:val="0"/>
          <w:i w:val="0"/>
          <w:color w:val="1F2A3A"/>
        </w:rPr>
        <w:t>PYTHONPATH</w:t>
      </w:r>
      <w:r>
        <w:rPr>
          <w:b w:val="0"/>
          <w:i w:val="0"/>
        </w:rPr>
        <w:t xml:space="preserve"> et exécute </w:t>
      </w:r>
      <w:r>
        <w:rPr>
          <w:rFonts w:ascii="Consolas" w:hAnsi="Consolas" w:eastAsia="Consolas"/>
          <w:b w:val="0"/>
          <w:i w:val="0"/>
          <w:color w:val="1F2A3A"/>
        </w:rPr>
        <w:t>python3 -m ti_server</w:t>
      </w:r>
      <w:r>
        <w:rPr>
          <w:b w:val="0"/>
          <w:i w:val="0"/>
        </w:rPr>
        <w:t>. Il parle JSON-RPC 2.0 sur l'entrée et la sortie standard, une ligne par message. Aucun port n'est ouvert. Cette propriété est essentielle pour le laboratoire : elle réduit la surface d'attaque et rend la démonstration possible sans réseau.</w:t>
      </w:r>
    </w:p>
    <w:p>
      <w:pPr>
        <w:pStyle w:val="Heading2"/>
      </w:pPr>
      <w:r>
        <w:rPr>
          <w:rFonts w:ascii="Calibri" w:hAnsi="Calibri" w:eastAsia="Calibri"/>
          <w:b/>
          <w:color w:val="2F6DB3"/>
          <w:sz w:val="28"/>
        </w:rPr>
        <w:t>5.3 Implémentation des contrôles</w:t>
      </w:r>
    </w:p>
    <w:p>
      <w:pPr>
        <w:keepNext w:val="0"/>
      </w:pPr>
      <w:r>
        <w:rPr>
          <w:b w:val="0"/>
          <w:i w:val="0"/>
        </w:rPr>
        <w:t>Chaque contrôle de l'architecture correspond à un module et à un test. Le tableau ci-dessous est le pont entre la conception et le code ; il permet de répondre à la question « où est-ce implémenté ? » sans parcourir tout le dépôt.</w:t>
      </w:r>
    </w:p>
    <w:p>
      <w:pPr>
        <w:pStyle w:val="Légende"/>
        <w:keepNext/>
      </w:pPr>
      <w:r>
        <w:rPr>
          <w:rFonts w:ascii="Calibri" w:hAnsi="Calibri" w:eastAsia="Calibri"/>
          <w:i/>
          <w:color w:val="5B6577"/>
          <w:sz w:val="18"/>
        </w:rPr>
        <w:t xml:space="preserve">Tableau </w:t>
      </w:r>
      <w:r>
        <w:fldChar w:fldCharType="begin"/>
      </w:r>
      <w:r>
        <w:instrText xml:space="preserve"> SEQ Tableau \* ARABIC </w:instrText>
      </w:r>
      <w:r>
        <w:fldChar w:fldCharType="separate"/>
      </w:r>
      <w:r>
        <w:rPr>
          <w:color w:val="5B6577"/>
          <w:sz w:val="18"/>
        </w:rPr>
        <w:t>8</w:t>
      </w:r>
      <w:r>
        <w:fldChar w:fldCharType="end"/>
      </w:r>
      <w:r>
        <w:rPr>
          <w:rFonts w:ascii="Calibri" w:hAnsi="Calibri" w:eastAsia="Calibri"/>
          <w:i/>
          <w:color w:val="5B6577"/>
          <w:sz w:val="18"/>
        </w:rPr>
        <w:t xml:space="preserve"> — Contrôles, implémentation et tests</w:t>
      </w:r>
    </w:p>
    <w:tbl>
      <w:tblPr>
        <w:tblW w:type="auto" w:w="0"/>
        <w:jc w:val="center"/>
        <w:tblLayout w:type="fixed"/>
        <w:tblLook w:firstColumn="1" w:firstRow="1" w:lastColumn="0" w:lastRow="0" w:noHBand="0" w:noVBand="1" w:val="04A0"/>
        <w:tblCellMar>
          <w:top w:w="40" w:type="dxa"/>
          <w:left w:w="80" w:type="dxa"/>
          <w:bottom w:w="40" w:type="dxa"/>
          <w:right w:w="80" w:type="dxa"/>
        </w:tblCellMar>
      </w:tblPr>
      <w:tblGrid>
        <w:gridCol w:w="2409"/>
        <w:gridCol w:w="2409"/>
        <w:gridCol w:w="2409"/>
        <w:gridCol w:w="2409"/>
      </w:tblGrid>
      <w:tr>
        <w:trPr>
          <w:tblHeader w:val="true"/>
          <w:cantSplit w:val="true"/>
        </w:trPr>
        <w:tc>
          <w:tcPr>
            <w:tcW w:type="dxa" w:w="1814"/>
            <w:shd w:val="clear" w:color="auto" w:fill="10243F"/>
          </w:tcPr>
          <w:p>
            <w:pPr>
              <w:spacing w:after="0"/>
              <w:jc w:val="center"/>
            </w:pPr>
            <w:r>
              <w:rPr>
                <w:rFonts w:ascii="Calibri" w:hAnsi="Calibri" w:eastAsia="Calibri"/>
                <w:b/>
                <w:color w:val="FFFFFF"/>
                <w:sz w:val="16"/>
              </w:rPr>
              <w:t>Contrôle</w:t>
            </w:r>
          </w:p>
        </w:tc>
        <w:tc>
          <w:tcPr>
            <w:tcW w:type="dxa" w:w="3061"/>
            <w:shd w:val="clear" w:color="auto" w:fill="10243F"/>
          </w:tcPr>
          <w:p>
            <w:pPr>
              <w:spacing w:after="0"/>
              <w:jc w:val="center"/>
            </w:pPr>
            <w:r>
              <w:rPr>
                <w:rFonts w:ascii="Calibri" w:hAnsi="Calibri" w:eastAsia="Calibri"/>
                <w:b/>
                <w:color w:val="FFFFFF"/>
                <w:sz w:val="16"/>
              </w:rPr>
              <w:t>Implémentation</w:t>
            </w:r>
          </w:p>
        </w:tc>
        <w:tc>
          <w:tcPr>
            <w:tcW w:type="dxa" w:w="3515"/>
            <w:shd w:val="clear" w:color="auto" w:fill="10243F"/>
          </w:tcPr>
          <w:p>
            <w:pPr>
              <w:spacing w:after="0"/>
              <w:jc w:val="center"/>
            </w:pPr>
            <w:r>
              <w:rPr>
                <w:rFonts w:ascii="Calibri" w:hAnsi="Calibri" w:eastAsia="Calibri"/>
                <w:b/>
                <w:color w:val="FFFFFF"/>
                <w:sz w:val="16"/>
              </w:rPr>
              <w:t>Point clé</w:t>
            </w:r>
          </w:p>
        </w:tc>
        <w:tc>
          <w:tcPr>
            <w:tcW w:type="dxa" w:w="1474"/>
            <w:shd w:val="clear" w:color="auto" w:fill="10243F"/>
          </w:tcPr>
          <w:p>
            <w:pPr>
              <w:spacing w:after="0"/>
              <w:jc w:val="center"/>
            </w:pPr>
            <w:r>
              <w:rPr>
                <w:rFonts w:ascii="Calibri" w:hAnsi="Calibri" w:eastAsia="Calibri"/>
                <w:b/>
                <w:color w:val="FFFFFF"/>
                <w:sz w:val="16"/>
              </w:rPr>
              <w:t>Test</w:t>
            </w:r>
          </w:p>
        </w:tc>
      </w:tr>
      <w:tr>
        <w:trPr>
          <w:cantSplit w:val="true"/>
        </w:trPr>
        <w:tc>
          <w:tcPr>
            <w:tcW w:type="dxa" w:w="1814"/>
          </w:tcPr>
          <w:p>
            <w:pPr>
              <w:spacing w:after="0" w:line="245" w:lineRule="auto"/>
              <w:jc w:val="left"/>
            </w:pPr>
            <w:r>
              <w:rPr>
                <w:b/>
                <w:i w:val="0"/>
                <w:sz w:val="15"/>
              </w:rPr>
              <w:t>Authentification</w:t>
            </w:r>
          </w:p>
        </w:tc>
        <w:tc>
          <w:tcPr>
            <w:tcW w:type="dxa" w:w="3061"/>
          </w:tcPr>
          <w:p>
            <w:pPr>
              <w:spacing w:after="0" w:line="245" w:lineRule="auto"/>
              <w:jc w:val="left"/>
            </w:pPr>
            <w:r>
              <w:rPr>
                <w:rFonts w:ascii="Consolas" w:hAnsi="Consolas" w:eastAsia="Consolas"/>
                <w:b w:val="0"/>
                <w:i w:val="0"/>
                <w:color w:val="1F2A3A"/>
                <w:sz w:val="14"/>
              </w:rPr>
              <w:t>auth.verify_token</w:t>
            </w:r>
            <w:r>
              <w:rPr>
                <w:b w:val="0"/>
                <w:i w:val="0"/>
                <w:sz w:val="15"/>
              </w:rPr>
              <w:t xml:space="preserve">, </w:t>
            </w:r>
            <w:r>
              <w:rPr>
                <w:rFonts w:ascii="Consolas" w:hAnsi="Consolas" w:eastAsia="Consolas"/>
                <w:b w:val="0"/>
                <w:i w:val="0"/>
                <w:color w:val="1F2A3A"/>
                <w:sz w:val="14"/>
              </w:rPr>
              <w:t>policy.authenticate</w:t>
            </w:r>
          </w:p>
        </w:tc>
        <w:tc>
          <w:tcPr>
            <w:tcW w:type="dxa" w:w="3515"/>
          </w:tcPr>
          <w:p>
            <w:pPr>
              <w:spacing w:after="0" w:line="245" w:lineRule="auto"/>
              <w:jc w:val="left"/>
            </w:pPr>
            <w:r>
              <w:rPr>
                <w:b w:val="0"/>
                <w:i w:val="0"/>
                <w:sz w:val="15"/>
              </w:rPr>
              <w:t>HMAC, expiration, révocation, posture.</w:t>
            </w:r>
          </w:p>
        </w:tc>
        <w:tc>
          <w:tcPr>
            <w:tcW w:type="dxa" w:w="1474"/>
          </w:tcPr>
          <w:p>
            <w:pPr>
              <w:spacing w:after="0" w:line="245" w:lineRule="auto"/>
              <w:jc w:val="left"/>
            </w:pPr>
            <w:r>
              <w:rPr>
                <w:b w:val="0"/>
                <w:i w:val="0"/>
                <w:sz w:val="15"/>
              </w:rPr>
              <w:t>A01–A05</w:t>
            </w:r>
          </w:p>
        </w:tc>
      </w:tr>
      <w:tr>
        <w:trPr>
          <w:cantSplit w:val="true"/>
        </w:trPr>
        <w:tc>
          <w:tcPr>
            <w:tcW w:type="dxa" w:w="1814"/>
            <w:shd w:val="clear" w:color="auto" w:fill="F3F6FA"/>
          </w:tcPr>
          <w:p>
            <w:pPr>
              <w:spacing w:after="0" w:line="245" w:lineRule="auto"/>
              <w:jc w:val="left"/>
            </w:pPr>
            <w:r>
              <w:rPr>
                <w:b/>
                <w:i w:val="0"/>
                <w:sz w:val="15"/>
              </w:rPr>
              <w:t>ABAC et compartiments</w:t>
            </w:r>
          </w:p>
        </w:tc>
        <w:tc>
          <w:tcPr>
            <w:tcW w:type="dxa" w:w="3061"/>
            <w:shd w:val="clear" w:color="auto" w:fill="F3F6FA"/>
          </w:tcPr>
          <w:p>
            <w:pPr>
              <w:spacing w:after="0" w:line="245" w:lineRule="auto"/>
              <w:jc w:val="left"/>
            </w:pPr>
            <w:r>
              <w:rPr>
                <w:rFonts w:ascii="Consolas" w:hAnsi="Consolas" w:eastAsia="Consolas"/>
                <w:b w:val="0"/>
                <w:i w:val="0"/>
                <w:color w:val="1F2A3A"/>
                <w:sz w:val="14"/>
              </w:rPr>
              <w:t>policy.authenticate</w:t>
            </w:r>
            <w:r>
              <w:rPr>
                <w:b w:val="0"/>
                <w:i w:val="0"/>
                <w:sz w:val="15"/>
              </w:rPr>
              <w:t xml:space="preserve">, </w:t>
            </w:r>
            <w:r>
              <w:rPr>
                <w:rFonts w:ascii="Consolas" w:hAnsi="Consolas" w:eastAsia="Consolas"/>
                <w:b w:val="0"/>
                <w:i w:val="0"/>
                <w:color w:val="1F2A3A"/>
                <w:sz w:val="14"/>
              </w:rPr>
              <w:t>policy.can_read</w:t>
            </w:r>
          </w:p>
        </w:tc>
        <w:tc>
          <w:tcPr>
            <w:tcW w:type="dxa" w:w="3515"/>
            <w:shd w:val="clear" w:color="auto" w:fill="F3F6FA"/>
          </w:tcPr>
          <w:p>
            <w:pPr>
              <w:spacing w:after="0" w:line="245" w:lineRule="auto"/>
              <w:jc w:val="left"/>
            </w:pPr>
            <w:r>
              <w:rPr>
                <w:b w:val="0"/>
                <w:i w:val="0"/>
                <w:sz w:val="15"/>
              </w:rPr>
              <w:t>Rôle, finalité, niveau, ensembles.</w:t>
            </w:r>
          </w:p>
        </w:tc>
        <w:tc>
          <w:tcPr>
            <w:tcW w:type="dxa" w:w="1474"/>
            <w:shd w:val="clear" w:color="auto" w:fill="F3F6FA"/>
          </w:tcPr>
          <w:p>
            <w:pPr>
              <w:spacing w:after="0" w:line="245" w:lineRule="auto"/>
              <w:jc w:val="left"/>
            </w:pPr>
            <w:r>
              <w:rPr>
                <w:b w:val="0"/>
                <w:i w:val="0"/>
                <w:sz w:val="15"/>
              </w:rPr>
              <w:t>A06–A09, A15</w:t>
            </w:r>
          </w:p>
        </w:tc>
      </w:tr>
      <w:tr>
        <w:trPr>
          <w:cantSplit w:val="true"/>
        </w:trPr>
        <w:tc>
          <w:tcPr>
            <w:tcW w:type="dxa" w:w="1814"/>
          </w:tcPr>
          <w:p>
            <w:pPr>
              <w:spacing w:after="0" w:line="245" w:lineRule="auto"/>
              <w:jc w:val="left"/>
            </w:pPr>
            <w:r>
              <w:rPr>
                <w:b/>
                <w:i w:val="0"/>
                <w:sz w:val="15"/>
              </w:rPr>
              <w:t>Validation stricte</w:t>
            </w:r>
          </w:p>
        </w:tc>
        <w:tc>
          <w:tcPr>
            <w:tcW w:type="dxa" w:w="3061"/>
          </w:tcPr>
          <w:p>
            <w:pPr>
              <w:spacing w:after="0" w:line="245" w:lineRule="auto"/>
              <w:jc w:val="left"/>
            </w:pPr>
            <w:r>
              <w:rPr>
                <w:rFonts w:ascii="Consolas" w:hAnsi="Consolas" w:eastAsia="Consolas"/>
                <w:b w:val="0"/>
                <w:i w:val="0"/>
                <w:color w:val="1F2A3A"/>
                <w:sz w:val="14"/>
              </w:rPr>
              <w:t>tools.validate_arguments</w:t>
            </w:r>
          </w:p>
        </w:tc>
        <w:tc>
          <w:tcPr>
            <w:tcW w:type="dxa" w:w="3515"/>
          </w:tcPr>
          <w:p>
            <w:pPr>
              <w:spacing w:after="0" w:line="245" w:lineRule="auto"/>
              <w:jc w:val="left"/>
            </w:pPr>
            <w:r>
              <w:rPr>
                <w:b w:val="0"/>
                <w:i w:val="0"/>
                <w:sz w:val="15"/>
              </w:rPr>
              <w:t>Schéma, types, taille, propriétés interdites.</w:t>
            </w:r>
          </w:p>
        </w:tc>
        <w:tc>
          <w:tcPr>
            <w:tcW w:type="dxa" w:w="1474"/>
          </w:tcPr>
          <w:p>
            <w:pPr>
              <w:spacing w:after="0" w:line="245" w:lineRule="auto"/>
              <w:jc w:val="left"/>
            </w:pPr>
            <w:r>
              <w:rPr>
                <w:b w:val="0"/>
                <w:i w:val="0"/>
                <w:sz w:val="15"/>
              </w:rPr>
              <w:t>N12, A11, A16</w:t>
            </w:r>
          </w:p>
        </w:tc>
      </w:tr>
      <w:tr>
        <w:trPr>
          <w:cantSplit w:val="true"/>
        </w:trPr>
        <w:tc>
          <w:tcPr>
            <w:tcW w:type="dxa" w:w="1814"/>
            <w:shd w:val="clear" w:color="auto" w:fill="F3F6FA"/>
          </w:tcPr>
          <w:p>
            <w:pPr>
              <w:spacing w:after="0" w:line="245" w:lineRule="auto"/>
              <w:jc w:val="left"/>
            </w:pPr>
            <w:r>
              <w:rPr>
                <w:b/>
                <w:i w:val="0"/>
                <w:sz w:val="15"/>
              </w:rPr>
              <w:t>Assainissement</w:t>
            </w:r>
          </w:p>
        </w:tc>
        <w:tc>
          <w:tcPr>
            <w:tcW w:type="dxa" w:w="3061"/>
            <w:shd w:val="clear" w:color="auto" w:fill="F3F6FA"/>
          </w:tcPr>
          <w:p>
            <w:pPr>
              <w:spacing w:after="0" w:line="245" w:lineRule="auto"/>
              <w:jc w:val="left"/>
            </w:pPr>
            <w:r>
              <w:rPr>
                <w:rFonts w:ascii="Consolas" w:hAnsi="Consolas" w:eastAsia="Consolas"/>
                <w:b w:val="0"/>
                <w:i w:val="0"/>
                <w:color w:val="1F2A3A"/>
                <w:sz w:val="14"/>
              </w:rPr>
              <w:t>sanitize.scan_injection</w:t>
            </w:r>
            <w:r>
              <w:rPr>
                <w:b w:val="0"/>
                <w:i w:val="0"/>
                <w:sz w:val="15"/>
              </w:rPr>
              <w:t xml:space="preserve">, </w:t>
            </w:r>
            <w:r>
              <w:rPr>
                <w:rFonts w:ascii="Consolas" w:hAnsi="Consolas" w:eastAsia="Consolas"/>
                <w:b w:val="0"/>
                <w:i w:val="0"/>
                <w:color w:val="1F2A3A"/>
                <w:sz w:val="14"/>
              </w:rPr>
              <w:t>neutralize</w:t>
            </w:r>
          </w:p>
        </w:tc>
        <w:tc>
          <w:tcPr>
            <w:tcW w:type="dxa" w:w="3515"/>
            <w:shd w:val="clear" w:color="auto" w:fill="F3F6FA"/>
          </w:tcPr>
          <w:p>
            <w:pPr>
              <w:spacing w:after="0" w:line="245" w:lineRule="auto"/>
              <w:jc w:val="left"/>
            </w:pPr>
            <w:r>
              <w:rPr>
                <w:b w:val="0"/>
                <w:i w:val="0"/>
                <w:sz w:val="15"/>
              </w:rPr>
              <w:t>Regex, zéro-largeur, lignes neutralisées.</w:t>
            </w:r>
          </w:p>
        </w:tc>
        <w:tc>
          <w:tcPr>
            <w:tcW w:type="dxa" w:w="1474"/>
            <w:shd w:val="clear" w:color="auto" w:fill="F3F6FA"/>
          </w:tcPr>
          <w:p>
            <w:pPr>
              <w:spacing w:after="0" w:line="245" w:lineRule="auto"/>
              <w:jc w:val="left"/>
            </w:pPr>
            <w:r>
              <w:rPr>
                <w:b w:val="0"/>
                <w:i w:val="0"/>
                <w:sz w:val="15"/>
              </w:rPr>
              <w:t>A10</w:t>
            </w:r>
          </w:p>
        </w:tc>
      </w:tr>
      <w:tr>
        <w:trPr>
          <w:cantSplit w:val="true"/>
        </w:trPr>
        <w:tc>
          <w:tcPr>
            <w:tcW w:type="dxa" w:w="1814"/>
          </w:tcPr>
          <w:p>
            <w:pPr>
              <w:spacing w:after="0" w:line="245" w:lineRule="auto"/>
              <w:jc w:val="left"/>
            </w:pPr>
            <w:r>
              <w:rPr>
                <w:b/>
                <w:i w:val="0"/>
                <w:sz w:val="15"/>
              </w:rPr>
              <w:t>Enveloppe</w:t>
            </w:r>
          </w:p>
        </w:tc>
        <w:tc>
          <w:tcPr>
            <w:tcW w:type="dxa" w:w="3061"/>
          </w:tcPr>
          <w:p>
            <w:pPr>
              <w:spacing w:after="0" w:line="245" w:lineRule="auto"/>
              <w:jc w:val="left"/>
            </w:pPr>
            <w:r>
              <w:rPr>
                <w:rFonts w:ascii="Consolas" w:hAnsi="Consolas" w:eastAsia="Consolas"/>
                <w:b w:val="0"/>
                <w:i w:val="0"/>
                <w:color w:val="1F2A3A"/>
                <w:sz w:val="14"/>
              </w:rPr>
              <w:t>tools._envelope</w:t>
            </w:r>
          </w:p>
        </w:tc>
        <w:tc>
          <w:tcPr>
            <w:tcW w:type="dxa" w:w="3515"/>
          </w:tcPr>
          <w:p>
            <w:pPr>
              <w:spacing w:after="0" w:line="245" w:lineRule="auto"/>
              <w:jc w:val="left"/>
            </w:pPr>
            <w:r>
              <w:rPr>
                <w:b w:val="0"/>
                <w:i w:val="0"/>
                <w:sz w:val="15"/>
              </w:rPr>
              <w:t>Étiquette max, TLP, mentions, masquage, canari.</w:t>
            </w:r>
          </w:p>
        </w:tc>
        <w:tc>
          <w:tcPr>
            <w:tcW w:type="dxa" w:w="1474"/>
          </w:tcPr>
          <w:p>
            <w:pPr>
              <w:spacing w:after="0" w:line="245" w:lineRule="auto"/>
              <w:jc w:val="left"/>
            </w:pPr>
            <w:r>
              <w:rPr>
                <w:b w:val="0"/>
                <w:i w:val="0"/>
                <w:sz w:val="15"/>
              </w:rPr>
              <w:t>N03, N04, N10</w:t>
            </w:r>
          </w:p>
        </w:tc>
      </w:tr>
      <w:tr>
        <w:trPr>
          <w:cantSplit w:val="true"/>
        </w:trPr>
        <w:tc>
          <w:tcPr>
            <w:tcW w:type="dxa" w:w="1814"/>
            <w:shd w:val="clear" w:color="auto" w:fill="F3F6FA"/>
          </w:tcPr>
          <w:p>
            <w:pPr>
              <w:spacing w:after="0" w:line="245" w:lineRule="auto"/>
              <w:jc w:val="left"/>
            </w:pPr>
            <w:r>
              <w:rPr>
                <w:b/>
                <w:i w:val="0"/>
                <w:sz w:val="15"/>
              </w:rPr>
              <w:t>Audit</w:t>
            </w:r>
          </w:p>
        </w:tc>
        <w:tc>
          <w:tcPr>
            <w:tcW w:type="dxa" w:w="3061"/>
            <w:shd w:val="clear" w:color="auto" w:fill="F3F6FA"/>
          </w:tcPr>
          <w:p>
            <w:pPr>
              <w:spacing w:after="0" w:line="245" w:lineRule="auto"/>
              <w:jc w:val="left"/>
            </w:pPr>
            <w:r>
              <w:rPr>
                <w:rFonts w:ascii="Consolas" w:hAnsi="Consolas" w:eastAsia="Consolas"/>
                <w:b w:val="0"/>
                <w:i w:val="0"/>
                <w:color w:val="1F2A3A"/>
                <w:sz w:val="14"/>
              </w:rPr>
              <w:t>audit.AuditLog</w:t>
            </w:r>
            <w:r>
              <w:rPr>
                <w:b w:val="0"/>
                <w:i w:val="0"/>
                <w:sz w:val="15"/>
              </w:rPr>
              <w:t xml:space="preserve">, </w:t>
            </w:r>
            <w:r>
              <w:rPr>
                <w:rFonts w:ascii="Consolas" w:hAnsi="Consolas" w:eastAsia="Consolas"/>
                <w:b w:val="0"/>
                <w:i w:val="0"/>
                <w:color w:val="1F2A3A"/>
                <w:sz w:val="14"/>
              </w:rPr>
              <w:t>server._audit_event</w:t>
            </w:r>
          </w:p>
        </w:tc>
        <w:tc>
          <w:tcPr>
            <w:tcW w:type="dxa" w:w="3515"/>
            <w:shd w:val="clear" w:color="auto" w:fill="F3F6FA"/>
          </w:tcPr>
          <w:p>
            <w:pPr>
              <w:spacing w:after="0" w:line="245" w:lineRule="auto"/>
              <w:jc w:val="left"/>
            </w:pPr>
            <w:r>
              <w:rPr>
                <w:b w:val="0"/>
                <w:i w:val="0"/>
                <w:sz w:val="15"/>
              </w:rPr>
              <w:t>Chaîne, séquence, fail-closed.</w:t>
            </w:r>
          </w:p>
        </w:tc>
        <w:tc>
          <w:tcPr>
            <w:tcW w:type="dxa" w:w="1474"/>
            <w:shd w:val="clear" w:color="auto" w:fill="F3F6FA"/>
          </w:tcPr>
          <w:p>
            <w:pPr>
              <w:spacing w:after="0" w:line="245" w:lineRule="auto"/>
              <w:jc w:val="left"/>
            </w:pPr>
            <w:r>
              <w:rPr>
                <w:b w:val="0"/>
                <w:i w:val="0"/>
                <w:sz w:val="15"/>
              </w:rPr>
              <w:t>A14, N13</w:t>
            </w:r>
          </w:p>
        </w:tc>
      </w:tr>
      <w:tr>
        <w:trPr>
          <w:cantSplit w:val="true"/>
        </w:trPr>
        <w:tc>
          <w:tcPr>
            <w:tcW w:type="dxa" w:w="1814"/>
          </w:tcPr>
          <w:p>
            <w:pPr>
              <w:spacing w:after="0" w:line="245" w:lineRule="auto"/>
              <w:jc w:val="left"/>
            </w:pPr>
            <w:r>
              <w:rPr>
                <w:b/>
                <w:i w:val="0"/>
                <w:sz w:val="15"/>
              </w:rPr>
              <w:t>Révocation</w:t>
            </w:r>
          </w:p>
        </w:tc>
        <w:tc>
          <w:tcPr>
            <w:tcW w:type="dxa" w:w="3061"/>
          </w:tcPr>
          <w:p>
            <w:pPr>
              <w:spacing w:after="0" w:line="245" w:lineRule="auto"/>
              <w:jc w:val="left"/>
            </w:pPr>
            <w:r>
              <w:rPr>
                <w:rFonts w:ascii="Consolas" w:hAnsi="Consolas" w:eastAsia="Consolas"/>
                <w:b w:val="0"/>
                <w:i w:val="0"/>
                <w:color w:val="1F2A3A"/>
                <w:sz w:val="14"/>
              </w:rPr>
              <w:t>ti_cli revoke</w:t>
            </w:r>
            <w:r>
              <w:rPr>
                <w:b w:val="0"/>
                <w:i w:val="0"/>
                <w:sz w:val="15"/>
              </w:rPr>
              <w:t xml:space="preserve">, </w:t>
            </w:r>
            <w:r>
              <w:rPr>
                <w:rFonts w:ascii="Consolas" w:hAnsi="Consolas" w:eastAsia="Consolas"/>
                <w:b w:val="0"/>
                <w:i w:val="0"/>
                <w:color w:val="1F2A3A"/>
                <w:sz w:val="14"/>
              </w:rPr>
              <w:t>policy.authenticate</w:t>
            </w:r>
          </w:p>
        </w:tc>
        <w:tc>
          <w:tcPr>
            <w:tcW w:type="dxa" w:w="3515"/>
          </w:tcPr>
          <w:p>
            <w:pPr>
              <w:spacing w:after="0" w:line="245" w:lineRule="auto"/>
              <w:jc w:val="left"/>
            </w:pPr>
            <w:r>
              <w:rPr>
                <w:b w:val="0"/>
                <w:i w:val="0"/>
                <w:sz w:val="15"/>
              </w:rPr>
              <w:t>Liste relue à chaque requête.</w:t>
            </w:r>
          </w:p>
        </w:tc>
        <w:tc>
          <w:tcPr>
            <w:tcW w:type="dxa" w:w="1474"/>
          </w:tcPr>
          <w:p>
            <w:pPr>
              <w:spacing w:after="0" w:line="245" w:lineRule="auto"/>
              <w:jc w:val="left"/>
            </w:pPr>
            <w:r>
              <w:rPr>
                <w:b w:val="0"/>
                <w:i w:val="0"/>
                <w:sz w:val="15"/>
              </w:rPr>
              <w:t>A04, N13</w:t>
            </w:r>
          </w:p>
        </w:tc>
      </w:tr>
      <w:tr>
        <w:trPr>
          <w:cantSplit w:val="true"/>
        </w:trPr>
        <w:tc>
          <w:tcPr>
            <w:tcW w:type="dxa" w:w="1814"/>
            <w:shd w:val="clear" w:color="auto" w:fill="F3F6FA"/>
          </w:tcPr>
          <w:p>
            <w:pPr>
              <w:spacing w:after="0" w:line="245" w:lineRule="auto"/>
              <w:jc w:val="left"/>
            </w:pPr>
            <w:r>
              <w:rPr>
                <w:b/>
                <w:i w:val="0"/>
                <w:sz w:val="15"/>
              </w:rPr>
              <w:t>Débit</w:t>
            </w:r>
          </w:p>
        </w:tc>
        <w:tc>
          <w:tcPr>
            <w:tcW w:type="dxa" w:w="3061"/>
            <w:shd w:val="clear" w:color="auto" w:fill="F3F6FA"/>
          </w:tcPr>
          <w:p>
            <w:pPr>
              <w:spacing w:after="0" w:line="245" w:lineRule="auto"/>
              <w:jc w:val="left"/>
            </w:pPr>
            <w:r>
              <w:rPr>
                <w:rFonts w:ascii="Consolas" w:hAnsi="Consolas" w:eastAsia="Consolas"/>
                <w:b w:val="0"/>
                <w:i w:val="0"/>
                <w:color w:val="1F2A3A"/>
                <w:sz w:val="14"/>
              </w:rPr>
              <w:t>server.RateLimiter</w:t>
            </w:r>
          </w:p>
        </w:tc>
        <w:tc>
          <w:tcPr>
            <w:tcW w:type="dxa" w:w="3515"/>
            <w:shd w:val="clear" w:color="auto" w:fill="F3F6FA"/>
          </w:tcPr>
          <w:p>
            <w:pPr>
              <w:spacing w:after="0" w:line="245" w:lineRule="auto"/>
              <w:jc w:val="left"/>
            </w:pPr>
            <w:r>
              <w:rPr>
                <w:b w:val="0"/>
                <w:i w:val="0"/>
                <w:sz w:val="15"/>
              </w:rPr>
              <w:t>Fenêtre glissante par sujet.</w:t>
            </w:r>
          </w:p>
        </w:tc>
        <w:tc>
          <w:tcPr>
            <w:tcW w:type="dxa" w:w="1474"/>
            <w:shd w:val="clear" w:color="auto" w:fill="F3F6FA"/>
          </w:tcPr>
          <w:p>
            <w:pPr>
              <w:spacing w:after="0" w:line="245" w:lineRule="auto"/>
              <w:jc w:val="left"/>
            </w:pPr>
            <w:r>
              <w:rPr>
                <w:b w:val="0"/>
                <w:i w:val="0"/>
                <w:sz w:val="15"/>
              </w:rPr>
              <w:t>A12</w:t>
            </w:r>
          </w:p>
        </w:tc>
      </w:tr>
      <w:tr>
        <w:trPr>
          <w:cantSplit w:val="true"/>
        </w:trPr>
        <w:tc>
          <w:tcPr>
            <w:tcW w:type="dxa" w:w="1814"/>
          </w:tcPr>
          <w:p>
            <w:pPr>
              <w:spacing w:after="0" w:line="245" w:lineRule="auto"/>
              <w:jc w:val="left"/>
            </w:pPr>
            <w:r>
              <w:rPr>
                <w:b/>
                <w:i w:val="0"/>
                <w:sz w:val="15"/>
              </w:rPr>
              <w:t>Moindre privilège</w:t>
            </w:r>
          </w:p>
        </w:tc>
        <w:tc>
          <w:tcPr>
            <w:tcW w:type="dxa" w:w="3061"/>
          </w:tcPr>
          <w:p>
            <w:pPr>
              <w:spacing w:after="0" w:line="245" w:lineRule="auto"/>
              <w:jc w:val="left"/>
            </w:pPr>
            <w:r>
              <w:rPr>
                <w:b w:val="0"/>
                <w:i w:val="0"/>
                <w:sz w:val="15"/>
              </w:rPr>
              <w:t xml:space="preserve">Lancement </w:t>
            </w:r>
            <w:r>
              <w:rPr>
                <w:rFonts w:ascii="Consolas" w:hAnsi="Consolas" w:eastAsia="Consolas"/>
                <w:b w:val="0"/>
                <w:i w:val="0"/>
                <w:color w:val="1F2A3A"/>
                <w:sz w:val="14"/>
              </w:rPr>
              <w:t>setpriv</w:t>
            </w:r>
            <w:r>
              <w:rPr>
                <w:b w:val="0"/>
                <w:i w:val="0"/>
                <w:sz w:val="15"/>
              </w:rPr>
              <w:t>, modes de fichiers</w:t>
            </w:r>
          </w:p>
        </w:tc>
        <w:tc>
          <w:tcPr>
            <w:tcW w:type="dxa" w:w="3515"/>
          </w:tcPr>
          <w:p>
            <w:pPr>
              <w:spacing w:after="0" w:line="245" w:lineRule="auto"/>
              <w:jc w:val="left"/>
            </w:pPr>
            <w:r>
              <w:rPr>
                <w:b w:val="0"/>
                <w:i w:val="0"/>
                <w:sz w:val="15"/>
              </w:rPr>
              <w:t>uid 65534, base 0440, clé 0400.</w:t>
            </w:r>
          </w:p>
        </w:tc>
        <w:tc>
          <w:tcPr>
            <w:tcW w:type="dxa" w:w="1474"/>
          </w:tcPr>
          <w:p>
            <w:pPr>
              <w:spacing w:after="0" w:line="245" w:lineRule="auto"/>
              <w:jc w:val="left"/>
            </w:pPr>
            <w:r>
              <w:rPr>
                <w:b w:val="0"/>
                <w:i w:val="0"/>
                <w:sz w:val="15"/>
              </w:rPr>
              <w:t>N15</w:t>
            </w:r>
          </w:p>
        </w:tc>
      </w:tr>
    </w:tbl>
    <w:p>
      <w:pPr>
        <w:pStyle w:val="Source"/>
      </w:pPr>
      <w:r>
        <w:rPr>
          <w:rFonts w:ascii="Calibri" w:hAnsi="Calibri" w:eastAsia="Calibri"/>
          <w:i/>
          <w:color w:val="5B6577"/>
          <w:sz w:val="16"/>
        </w:rPr>
        <w:t>Source : code du serveur ; les noms de fonctions sont exacts.</w:t>
      </w:r>
    </w:p>
    <w:p>
      <w:pPr>
        <w:pStyle w:val="Heading2"/>
      </w:pPr>
      <w:r>
        <w:rPr>
          <w:rFonts w:ascii="Calibri" w:hAnsi="Calibri" w:eastAsia="Calibri"/>
          <w:b/>
          <w:color w:val="2F6DB3"/>
          <w:sz w:val="28"/>
        </w:rPr>
        <w:t>5.4 Durcissement du poste et du service</w:t>
      </w:r>
    </w:p>
    <w:p>
      <w:pPr>
        <w:keepNext w:val="0"/>
      </w:pPr>
      <w:r>
        <w:rPr>
          <w:b w:val="0"/>
          <w:i w:val="0"/>
        </w:rPr>
        <w:t xml:space="preserve">Le durcissement n'est pas un supplément esthétique : il réduit l'impact d'une compromission du processus. Nous avons appliqué quatre mesures vérifiables : exécution sous </w:t>
      </w:r>
      <w:r>
        <w:rPr>
          <w:rFonts w:ascii="Consolas" w:hAnsi="Consolas" w:eastAsia="Consolas"/>
          <w:b w:val="0"/>
          <w:i w:val="0"/>
          <w:color w:val="1F2A3A"/>
        </w:rPr>
        <w:t>nobody</w:t>
      </w:r>
      <w:r>
        <w:rPr>
          <w:b w:val="0"/>
          <w:i w:val="0"/>
        </w:rPr>
        <w:t>, base en lecture seule, clé accessible au seul propriétaire, absence de client réseau. La commande de lancement utilisée par le test N15 est reproduite ci-dessous.</w:t>
      </w:r>
    </w:p>
    <w:p>
      <w:pPr>
        <w:pStyle w:val="Code"/>
        <w:pBdr>
          <w:left w:val="single" w:sz="12" w:space="4" w:color="2F6DB3"/>
        </w:pBdr>
        <w:shd w:val="clear" w:color="auto" w:fill="F4F6F9"/>
      </w:pPr>
      <w:r>
        <w:rPr>
          <w:rFonts w:ascii="Consolas" w:hAnsi="Consolas" w:eastAsia="Consolas"/>
          <w:color w:val="1F2A3A"/>
          <w:sz w:val="17"/>
        </w:rPr>
        <w:t>/usr/bin/setpriv --reuid=65534 --regid=65534 --clear-groups \</w:t>
      </w:r>
    </w:p>
    <w:p>
      <w:pPr>
        <w:pStyle w:val="Code"/>
        <w:pBdr>
          <w:left w:val="single" w:sz="12" w:space="4" w:color="2F6DB3"/>
        </w:pBdr>
        <w:shd w:val="clear" w:color="auto" w:fill="F4F6F9"/>
      </w:pPr>
      <w:r>
        <w:rPr>
          <w:rFonts w:ascii="Consolas" w:hAnsi="Consolas" w:eastAsia="Consolas"/>
          <w:color w:val="1F2A3A"/>
          <w:sz w:val="17"/>
        </w:rPr>
        <w:t xml:space="preserve">  /usr/bin/python3 -m ti_server</w:t>
      </w:r>
    </w:p>
    <w:p>
      <w:pPr>
        <w:keepNext w:val="0"/>
      </w:pPr>
      <w:r>
        <w:rPr>
          <w:b w:val="0"/>
          <w:i w:val="0"/>
        </w:rPr>
        <w:t xml:space="preserve">Le test N15 vérifie que le service démarre sous uid 65534, que la base est en 0440 et la clé en 0400, que le journal reste accessible en écriture et qu'une tentative d'écriture dans la base est refusée. Le résultat est </w:t>
      </w:r>
      <w:r>
        <w:rPr>
          <w:rFonts w:ascii="Consolas" w:hAnsi="Consolas" w:eastAsia="Consolas"/>
          <w:b w:val="0"/>
          <w:i w:val="0"/>
          <w:color w:val="1F2A3A"/>
        </w:rPr>
        <w:t>uid=65534</w:t>
      </w:r>
      <w:r>
        <w:rPr>
          <w:b w:val="0"/>
          <w:i w:val="0"/>
        </w:rPr>
        <w:t xml:space="preserve">, </w:t>
      </w:r>
      <w:r>
        <w:rPr>
          <w:rFonts w:ascii="Consolas" w:hAnsi="Consolas" w:eastAsia="Consolas"/>
          <w:b w:val="0"/>
          <w:i w:val="0"/>
          <w:color w:val="1F2A3A"/>
        </w:rPr>
        <w:t>base=0o440</w:t>
      </w:r>
      <w:r>
        <w:rPr>
          <w:b w:val="0"/>
          <w:i w:val="0"/>
        </w:rPr>
        <w:t xml:space="preserve">, </w:t>
      </w:r>
      <w:r>
        <w:rPr>
          <w:rFonts w:ascii="Consolas" w:hAnsi="Consolas" w:eastAsia="Consolas"/>
          <w:b w:val="0"/>
          <w:i w:val="0"/>
          <w:color w:val="1F2A3A"/>
        </w:rPr>
        <w:t>clé=0o400</w:t>
      </w:r>
      <w:r>
        <w:rPr>
          <w:b w:val="0"/>
          <w:i w:val="0"/>
        </w:rPr>
        <w:t xml:space="preserve">, </w:t>
      </w:r>
      <w:r>
        <w:rPr>
          <w:rFonts w:ascii="Consolas" w:hAnsi="Consolas" w:eastAsia="Consolas"/>
          <w:b w:val="0"/>
          <w:i w:val="0"/>
          <w:color w:val="1F2A3A"/>
        </w:rPr>
        <w:t>audit=True</w:t>
      </w:r>
      <w:r>
        <w:rPr>
          <w:b w:val="0"/>
          <w:i w:val="0"/>
        </w:rPr>
        <w:t xml:space="preserve">, </w:t>
      </w:r>
      <w:r>
        <w:rPr>
          <w:rFonts w:ascii="Consolas" w:hAnsi="Consolas" w:eastAsia="Consolas"/>
          <w:b w:val="0"/>
          <w:i w:val="0"/>
          <w:color w:val="1F2A3A"/>
        </w:rPr>
        <w:t>écriture_refusée=True</w:t>
      </w:r>
      <w:r>
        <w:rPr>
          <w:b w:val="0"/>
          <w:i w:val="0"/>
        </w:rPr>
        <w:t>. C'est une preuve de moindre privilège, pas une preuve d'isolation par espace de noms : ce dernier test n'a pas été exécuté, et nous le disons.</w:t>
      </w:r>
    </w:p>
    <w:p>
      <w:pPr>
        <w:keepNext w:val="0"/>
      </w:pPr>
      <w:r>
        <w:rPr>
          <w:b w:val="0"/>
          <w:i w:val="0"/>
        </w:rPr>
        <w:t>L'analyse statique vérifie l'absence de client réseau et de dépendance d'exécution : douze fichiers, aucun import interdit (</w:t>
      </w:r>
      <w:r>
        <w:rPr>
          <w:rFonts w:ascii="Consolas" w:hAnsi="Consolas" w:eastAsia="Consolas"/>
          <w:b w:val="0"/>
          <w:i w:val="0"/>
          <w:color w:val="1F2A3A"/>
        </w:rPr>
        <w:t>requests</w:t>
      </w:r>
      <w:r>
        <w:rPr>
          <w:b w:val="0"/>
          <w:i w:val="0"/>
        </w:rPr>
        <w:t xml:space="preserve">, </w:t>
      </w:r>
      <w:r>
        <w:rPr>
          <w:rFonts w:ascii="Consolas" w:hAnsi="Consolas" w:eastAsia="Consolas"/>
          <w:b w:val="0"/>
          <w:i w:val="0"/>
          <w:color w:val="1F2A3A"/>
        </w:rPr>
        <w:t>urllib</w:t>
      </w:r>
      <w:r>
        <w:rPr>
          <w:b w:val="0"/>
          <w:i w:val="0"/>
        </w:rPr>
        <w:t xml:space="preserve">, </w:t>
      </w:r>
      <w:r>
        <w:rPr>
          <w:rFonts w:ascii="Consolas" w:hAnsi="Consolas" w:eastAsia="Consolas"/>
          <w:b w:val="0"/>
          <w:i w:val="0"/>
          <w:color w:val="1F2A3A"/>
        </w:rPr>
        <w:t>http.client</w:t>
      </w:r>
      <w:r>
        <w:rPr>
          <w:b w:val="0"/>
          <w:i w:val="0"/>
        </w:rPr>
        <w:t xml:space="preserve">, </w:t>
      </w:r>
      <w:r>
        <w:rPr>
          <w:rFonts w:ascii="Consolas" w:hAnsi="Consolas" w:eastAsia="Consolas"/>
          <w:b w:val="0"/>
          <w:i w:val="0"/>
          <w:color w:val="1F2A3A"/>
        </w:rPr>
        <w:t>socket</w:t>
      </w:r>
      <w:r>
        <w:rPr>
          <w:b w:val="0"/>
          <w:i w:val="0"/>
        </w:rPr>
        <w:t xml:space="preserve"> côté serveur). Cette analyse ne remplace pas un test d'isolation réseau, mais elle est reproductible et suffisante pour démontrer l'absence de code d'exfiltration dans le périmètre.</w:t>
      </w:r>
    </w:p>
    <w:p>
      <w:pPr>
        <w:keepNext w:val="0"/>
      </w:pPr>
      <w:r>
        <w:rPr>
          <w:b w:val="0"/>
          <w:i w:val="0"/>
        </w:rPr>
        <w:t xml:space="preserve">Une unité systemd est proposée en annexe, avec </w:t>
      </w:r>
      <w:r>
        <w:rPr>
          <w:rFonts w:ascii="Consolas" w:hAnsi="Consolas" w:eastAsia="Consolas"/>
          <w:b w:val="0"/>
          <w:i w:val="0"/>
          <w:color w:val="1F2A3A"/>
        </w:rPr>
        <w:t>User=nobody</w:t>
      </w:r>
      <w:r>
        <w:rPr>
          <w:b w:val="0"/>
          <w:i w:val="0"/>
        </w:rPr>
        <w:t xml:space="preserve">, </w:t>
      </w:r>
      <w:r>
        <w:rPr>
          <w:rFonts w:ascii="Consolas" w:hAnsi="Consolas" w:eastAsia="Consolas"/>
          <w:b w:val="0"/>
          <w:i w:val="0"/>
          <w:color w:val="1F2A3A"/>
        </w:rPr>
        <w:t>NoNewPrivileges=yes</w:t>
      </w:r>
      <w:r>
        <w:rPr>
          <w:b w:val="0"/>
          <w:i w:val="0"/>
        </w:rPr>
        <w:t xml:space="preserve">, </w:t>
      </w:r>
      <w:r>
        <w:rPr>
          <w:rFonts w:ascii="Consolas" w:hAnsi="Consolas" w:eastAsia="Consolas"/>
          <w:b w:val="0"/>
          <w:i w:val="0"/>
          <w:color w:val="1F2A3A"/>
        </w:rPr>
        <w:t>ProtectSystem=strict</w:t>
      </w:r>
      <w:r>
        <w:rPr>
          <w:b w:val="0"/>
          <w:i w:val="0"/>
        </w:rPr>
        <w:t xml:space="preserve">, </w:t>
      </w:r>
      <w:r>
        <w:rPr>
          <w:rFonts w:ascii="Consolas" w:hAnsi="Consolas" w:eastAsia="Consolas"/>
          <w:b w:val="0"/>
          <w:i w:val="0"/>
          <w:color w:val="1F2A3A"/>
        </w:rPr>
        <w:t>PrivateNetwork=yes</w:t>
      </w:r>
      <w:r>
        <w:rPr>
          <w:b w:val="0"/>
          <w:i w:val="0"/>
        </w:rPr>
        <w:t xml:space="preserve"> et </w:t>
      </w:r>
      <w:r>
        <w:rPr>
          <w:rFonts w:ascii="Consolas" w:hAnsi="Consolas" w:eastAsia="Consolas"/>
          <w:b w:val="0"/>
          <w:i w:val="0"/>
          <w:color w:val="1F2A3A"/>
        </w:rPr>
        <w:t>ReadOnlyPaths</w:t>
      </w:r>
      <w:r>
        <w:rPr>
          <w:b w:val="0"/>
          <w:i w:val="0"/>
        </w:rPr>
        <w:t xml:space="preserve">. Elle n'est pas installée dans le laboratoire, faute de systemd garanti dans WSL2 ; elle est donc marquée </w:t>
      </w:r>
      <w:r>
        <w:rPr>
          <w:b/>
          <w:i w:val="0"/>
        </w:rPr>
        <w:t>proposé</w:t>
      </w:r>
      <w:r>
        <w:rPr>
          <w:b w:val="0"/>
          <w:i w:val="0"/>
        </w:rPr>
        <w:t xml:space="preserve">, pas </w:t>
      </w:r>
      <w:r>
        <w:rPr>
          <w:b/>
          <w:i w:val="0"/>
        </w:rPr>
        <w:t>testé</w:t>
      </w:r>
      <w:r>
        <w:rPr>
          <w:b w:val="0"/>
          <w:i w:val="0"/>
        </w:rPr>
        <w:t>. Cette distinction est importante : un jury peut demander à voir l'unité, mais nous ne prétendons pas l'avoir exécutée.</w:t>
      </w:r>
    </w:p>
    <w:tbl>
      <w:tblPr>
        <w:tblW w:type="auto" w:w="0"/>
        <w:jc w:val="center"/>
        <w:tblLayout w:type="fixed"/>
        <w:tblLook w:firstColumn="1" w:firstRow="1" w:lastColumn="0" w:lastRow="0" w:noHBand="0" w:noVBand="1" w:val="04A0"/>
        <w:tblCellMar>
          <w:top w:w="90" w:type="dxa"/>
          <w:left w:w="140" w:type="dxa"/>
          <w:bottom w:w="90" w:type="dxa"/>
          <w:right w:w="140" w:type="dxa"/>
        </w:tblCellMar>
      </w:tblPr>
      <w:tblGrid>
        <w:gridCol w:w="9638"/>
      </w:tblGrid>
      <w:tr>
        <w:tc>
          <w:tcPr>
            <w:tcW w:type="dxa" w:w="9411"/>
            <w:shd w:val="clear" w:color="auto" w:fill="FBE9E7"/>
            <w:tcBorders>
              <w:top w:val="nil"/>
              <w:bottom w:val="nil"/>
              <w:right w:val="nil"/>
              <w:left w:val="single" w:sz="18" w:color="A83232"/>
            </w:tcBorders>
          </w:tcPr>
          <w:p>
            <w:pPr>
              <w:spacing w:after="40"/>
            </w:pPr>
            <w:r>
              <w:rPr>
                <w:rFonts w:ascii="Calibri" w:hAnsi="Calibri" w:eastAsia="Calibri"/>
                <w:b/>
                <w:color w:val="10243F"/>
                <w:sz w:val="19"/>
              </w:rPr>
              <w:t>Ce qui n'est pas durci dans la maquette</w:t>
            </w:r>
          </w:p>
          <w:p>
            <w:pPr>
              <w:spacing w:after="0"/>
            </w:pPr>
            <w:r>
              <w:rPr>
                <w:b w:val="0"/>
                <w:i w:val="0"/>
                <w:sz w:val="19"/>
              </w:rPr>
              <w:t>Le chiffrement de disque est attesté par le jeton, mais aucun agent réel ne le vérifie. La clé est protégée par les permissions du système de fichiers, pas par un HSM. Le journal est local et non ancré à l'extérieur. Le transport est stdio ; un transport HTTP exigerait TLS, mTLS et une limitation de débit en amont. Ces points sont des travaux d'intégration, pas des contrôles cachés.</w:t>
            </w:r>
          </w:p>
        </w:tc>
      </w:tr>
    </w:tbl>
    <w:p>
      <w:pPr>
        <w:pStyle w:val="Heading2"/>
      </w:pPr>
      <w:r>
        <w:rPr>
          <w:rFonts w:ascii="Calibri" w:hAnsi="Calibri" w:eastAsia="Calibri"/>
          <w:b/>
          <w:color w:val="2F6DB3"/>
          <w:sz w:val="28"/>
        </w:rPr>
        <w:t>5.5 Données synthétiques et scénarios</w:t>
      </w:r>
    </w:p>
    <w:p>
      <w:pPr>
        <w:keepNext w:val="0"/>
      </w:pPr>
      <w:r>
        <w:rPr>
          <w:b w:val="0"/>
          <w:i w:val="0"/>
        </w:rPr>
        <w:t xml:space="preserve">Le jeu de données contient 12 bulletins, 30 indicateurs et 6 actifs. Quatre bulletins sont Public, trois Interne, trois Confidentiel et deux Secret. Les 30 indicateurs se répartissent entre les familles SableFin, NuitBleue, RougeMer et Canari ; le champ de source d'identité est masqué sous le niveau 3. Deux canaris permettent de tester la fuite : </w:t>
      </w:r>
      <w:r>
        <w:rPr>
          <w:rFonts w:ascii="Consolas" w:hAnsi="Consolas" w:eastAsia="Consolas"/>
          <w:b w:val="0"/>
          <w:i w:val="0"/>
          <w:color w:val="1F2A3A"/>
        </w:rPr>
        <w:t>CANARY-TEKUP-7f3a9c-2026</w:t>
      </w:r>
      <w:r>
        <w:rPr>
          <w:b w:val="0"/>
          <w:i w:val="0"/>
        </w:rPr>
        <w:t xml:space="preserve"> dans ADV-2026-004 et </w:t>
      </w:r>
      <w:r>
        <w:rPr>
          <w:rFonts w:ascii="Consolas" w:hAnsi="Consolas" w:eastAsia="Consolas"/>
          <w:b w:val="0"/>
          <w:i w:val="0"/>
          <w:color w:val="1F2A3A"/>
        </w:rPr>
        <w:t>CANARY-TEKUP-b41d8e-2026</w:t>
      </w:r>
      <w:r>
        <w:rPr>
          <w:b w:val="0"/>
          <w:i w:val="0"/>
        </w:rPr>
        <w:t xml:space="preserve"> dans ADV-2026-008. Un bulletin, ADV-2026-012, contient des instructions hostiles et une balise active. Les six actifs ont une criticité et une exposition variables, agrégées dans un score composite. Les adresses utilisent la plage de documentation RFC 5737 et les domaines </w:t>
      </w:r>
      <w:r>
        <w:rPr>
          <w:rFonts w:ascii="Consolas" w:hAnsi="Consolas" w:eastAsia="Consolas"/>
          <w:b w:val="0"/>
          <w:i w:val="0"/>
          <w:color w:val="1F2A3A"/>
        </w:rPr>
        <w:t>.example</w:t>
      </w:r>
      <w:r>
        <w:rPr>
          <w:b w:val="0"/>
          <w:i w:val="0"/>
        </w:rPr>
        <w:t xml:space="preserve"> : aucune donnée réelle n'est présente.</w:t>
      </w:r>
    </w:p>
    <w:p>
      <w:pPr>
        <w:pStyle w:val="Heading2"/>
      </w:pPr>
      <w:r>
        <w:rPr>
          <w:rFonts w:ascii="Calibri" w:hAnsi="Calibri" w:eastAsia="Calibri"/>
          <w:b/>
          <w:color w:val="2F6DB3"/>
          <w:sz w:val="28"/>
        </w:rPr>
        <w:t>5.6 État honnête de la réalisation</w:t>
      </w:r>
    </w:p>
    <w:p>
      <w:pPr>
        <w:keepNext w:val="0"/>
      </w:pPr>
      <w:r>
        <w:rPr>
          <w:b w:val="0"/>
          <w:i w:val="0"/>
        </w:rPr>
        <w:t xml:space="preserve">Tous les contrôles décrits dans cette section ne sont pas au même degré de maturité. Nous distinguons trois statuts, sans mélange. </w:t>
      </w:r>
      <w:r>
        <w:rPr>
          <w:b/>
          <w:i w:val="0"/>
        </w:rPr>
        <w:t>Testé</w:t>
      </w:r>
      <w:r>
        <w:rPr>
          <w:b w:val="0"/>
          <w:i w:val="0"/>
        </w:rPr>
        <w:t xml:space="preserve"> (preuve conservée) : six outils MCP (N01, N02, N07–N09), ABAC et compartiments (A06–A09, A15), étiquettes et masquage (N03, N04, N10), injection neutralisée (A10, 3/3, 0 faux positif), audit chaîné (A14, 116 entrées), révocation (A04, N13, 10 ms) et moindre privilège (N15, uid 65534, 0440/0400). </w:t>
      </w:r>
      <w:r>
        <w:rPr>
          <w:b/>
          <w:i w:val="0"/>
        </w:rPr>
        <w:t>Configuré</w:t>
      </w:r>
      <w:r>
        <w:rPr>
          <w:b w:val="0"/>
          <w:i w:val="0"/>
        </w:rPr>
        <w:t xml:space="preserve"> (mécanisme en place, intégration réelle à faire) : posture de l'agent EDR (claim synthétique, aucun agent réel raccordé) et chiffrement de disque (attesté par le jeton, non vérifié par le serveur). </w:t>
      </w:r>
      <w:r>
        <w:rPr>
          <w:b/>
          <w:i w:val="0"/>
        </w:rPr>
        <w:t>Proposé</w:t>
      </w:r>
      <w:r>
        <w:rPr>
          <w:b w:val="0"/>
          <w:i w:val="0"/>
        </w:rPr>
        <w:t xml:space="preserve"> (décrit, non exécuté) : unité systemd fournie en annexe mais non installée, OAuth/mTLS de production hors périmètre stdio, ancrage externe du journal nécessaire contre une réécriture complète. Aucun statut « testé » n'est attribué sans preuve.</w:t>
      </w:r>
    </w:p>
    <w:p>
      <w:pPr>
        <w:pStyle w:val="Heading1"/>
        <w:pageBreakBefore/>
      </w:pPr>
      <w:r>
        <w:rPr>
          <w:rFonts w:ascii="Calibri" w:hAnsi="Calibri" w:eastAsia="Calibri"/>
          <w:b/>
          <w:color w:val="10243F"/>
          <w:sz w:val="34"/>
        </w:rPr>
        <w:t>6. P5 — Tests de bout en bout et métriques</w:t>
      </w:r>
    </w:p>
    <w:p>
      <w:pPr>
        <w:keepNext w:val="0"/>
      </w:pPr>
      <w:r>
        <w:rPr>
          <w:b w:val="0"/>
          <w:i w:val="0"/>
        </w:rPr>
        <w:t>La campagne de tests est le cœur de la validation 2. Elle comporte 31 scénarios : 15 nominaux ou de durcissement, 16 d'abus. Chaque scénario définit ses préconditions, ses étapes, son résultat attendu, son résultat obtenu et les exigences qu'il valide. Aucun test n'est supprimé lorsqu'il échoue : l'échec est documenté, corrigé, puis rejoué. Le lecteur peut relancer la campagne avec une seule commande.</w:t>
      </w:r>
    </w:p>
    <w:p>
      <w:pPr>
        <w:pStyle w:val="Code"/>
        <w:pBdr>
          <w:left w:val="single" w:sz="12" w:space="4" w:color="2F6DB3"/>
        </w:pBdr>
        <w:shd w:val="clear" w:color="auto" w:fill="F4F6F9"/>
      </w:pPr>
      <w:r>
        <w:rPr>
          <w:rFonts w:ascii="Consolas" w:hAnsi="Consolas" w:eastAsia="Consolas"/>
          <w:color w:val="1F2A3A"/>
          <w:sz w:val="17"/>
        </w:rPr>
        <w:t>cd /root/tekup-mcp-ti</w:t>
      </w:r>
    </w:p>
    <w:p>
      <w:pPr>
        <w:pStyle w:val="Code"/>
        <w:pBdr>
          <w:left w:val="single" w:sz="12" w:space="4" w:color="2F6DB3"/>
        </w:pBdr>
        <w:shd w:val="clear" w:color="auto" w:fill="F4F6F9"/>
      </w:pPr>
      <w:r>
        <w:rPr>
          <w:rFonts w:ascii="Consolas" w:hAnsi="Consolas" w:eastAsia="Consolas"/>
          <w:color w:val="1F2A3A"/>
          <w:sz w:val="17"/>
        </w:rPr>
        <w:t>python3 tests/run_tests.py</w:t>
      </w:r>
    </w:p>
    <w:p>
      <w:pPr>
        <w:pStyle w:val="Code"/>
        <w:pBdr>
          <w:left w:val="single" w:sz="12" w:space="4" w:color="2F6DB3"/>
        </w:pBdr>
        <w:shd w:val="clear" w:color="auto" w:fill="F4F6F9"/>
      </w:pPr>
      <w:r>
        <w:rPr>
          <w:rFonts w:ascii="Consolas" w:hAnsi="Consolas" w:eastAsia="Consolas"/>
          <w:color w:val="1F2A3A"/>
          <w:sz w:val="17"/>
        </w:rPr>
        <w:t># Sortie attendue (extrait) :</w:t>
      </w:r>
    </w:p>
    <w:p>
      <w:pPr>
        <w:pStyle w:val="Code"/>
        <w:pBdr>
          <w:left w:val="single" w:sz="12" w:space="4" w:color="2F6DB3"/>
        </w:pBdr>
        <w:shd w:val="clear" w:color="auto" w:fill="F4F6F9"/>
      </w:pPr>
      <w:r>
        <w:rPr>
          <w:rFonts w:ascii="Consolas" w:hAnsi="Consolas" w:eastAsia="Consolas"/>
          <w:color w:val="1F2A3A"/>
          <w:sz w:val="17"/>
        </w:rPr>
        <w:t># Tests: 31/31 — échecs: 0</w:t>
      </w:r>
    </w:p>
    <w:p>
      <w:pPr>
        <w:pStyle w:val="Code"/>
        <w:pBdr>
          <w:left w:val="single" w:sz="12" w:space="4" w:color="2F6DB3"/>
        </w:pBdr>
        <w:shd w:val="clear" w:color="auto" w:fill="F4F6F9"/>
      </w:pPr>
      <w:r>
        <w:rPr>
          <w:rFonts w:ascii="Consolas" w:hAnsi="Consolas" w:eastAsia="Consolas"/>
          <w:color w:val="1F2A3A"/>
          <w:sz w:val="17"/>
        </w:rPr>
        <w:t># Détection abus: 16/16 (100.0 %)</w:t>
      </w:r>
    </w:p>
    <w:p>
      <w:pPr>
        <w:pStyle w:val="Code"/>
        <w:pBdr>
          <w:left w:val="single" w:sz="12" w:space="4" w:color="2F6DB3"/>
        </w:pBdr>
        <w:shd w:val="clear" w:color="auto" w:fill="F4F6F9"/>
      </w:pPr>
      <w:r>
        <w:rPr>
          <w:rFonts w:ascii="Consolas" w:hAnsi="Consolas" w:eastAsia="Consolas"/>
          <w:color w:val="1F2A3A"/>
          <w:sz w:val="17"/>
        </w:rPr>
        <w:t># Latence p95: 12.42 ms (n=60)</w:t>
      </w:r>
    </w:p>
    <w:p>
      <w:pPr>
        <w:pStyle w:val="Code"/>
        <w:pBdr>
          <w:left w:val="single" w:sz="12" w:space="4" w:color="2F6DB3"/>
        </w:pBdr>
        <w:shd w:val="clear" w:color="auto" w:fill="F4F6F9"/>
      </w:pPr>
      <w:r>
        <w:rPr>
          <w:rFonts w:ascii="Consolas" w:hAnsi="Consolas" w:eastAsia="Consolas"/>
          <w:color w:val="1F2A3A"/>
          <w:sz w:val="17"/>
        </w:rPr>
        <w:t># Audit: {'valide': True, 'entrees': 116, 'appels_attendus': 115, 'completude_pct': 100.0}</w:t>
      </w:r>
    </w:p>
    <w:p>
      <w:pPr>
        <w:pStyle w:val="Heading2"/>
      </w:pPr>
      <w:r>
        <w:rPr>
          <w:rFonts w:ascii="Calibri" w:hAnsi="Calibri" w:eastAsia="Calibri"/>
          <w:b/>
          <w:color w:val="2F6DB3"/>
          <w:sz w:val="28"/>
        </w:rPr>
        <w:t>6.1 Protocole de test</w:t>
      </w:r>
    </w:p>
    <w:p>
      <w:pPr>
        <w:keepNext w:val="0"/>
      </w:pPr>
      <w:r>
        <w:rPr>
          <w:b w:val="0"/>
          <w:i w:val="0"/>
        </w:rPr>
        <w:t>Le protocole est volontairement simple, pour être compris par un jury non spécialiste et rejoué sans interprétation. Le harnais recrée un laboratoire propre, émet neuf jetons (analyste, Secret, faible, mauvais compartiment, poste non conforme, expiré, révoqué, limite de débit, auditeur, redémarrage), démarre un serveur par scénario, appelle les outils en stdio et lit la dernière entrée d'audit. Il compare ensuite le résultat à l'attendu et écrit une ligne de preuve. Les tests sont indépendants : un échec n'empêche pas les suivants, et le serveur est relancé pour chaque profil.</w:t>
      </w:r>
    </w:p>
    <w:p>
      <w:pPr>
        <w:keepNext w:val="0"/>
      </w:pPr>
      <w:r>
        <w:rPr>
          <w:b w:val="0"/>
          <w:i w:val="0"/>
        </w:rPr>
        <w:t>Trois précautions rendent la campagne crédible. D'abord, les jetons sont signés avec une clé de laboratoire et les scénarios d'abus utilisent de vrais refus, pas des simulations. Ensuite, les assertions portent sur le contenu (présence du canari, code d'erreur, motif d'audit), pas seulement sur le code HTTP ou le texte. Enfin, la campagne vérifie la chaîne d'audit après les tests, pour s'assurer que les contrôles n'ont pas seulement l'air corrects : ils ont laissé une trace cohérente.</w:t>
      </w:r>
    </w:p>
    <w:p>
      <w:pPr>
        <w:pStyle w:val="Heading2"/>
      </w:pPr>
      <w:r>
        <w:rPr>
          <w:rFonts w:ascii="Calibri" w:hAnsi="Calibri" w:eastAsia="Calibri"/>
          <w:b/>
          <w:color w:val="2F6DB3"/>
          <w:sz w:val="28"/>
        </w:rPr>
        <w:t>6.2 Tests nominaux et de durcissement</w:t>
      </w:r>
    </w:p>
    <w:p>
      <w:pPr>
        <w:keepNext w:val="0"/>
      </w:pPr>
      <w:r>
        <w:rPr>
          <w:b w:val="0"/>
          <w:i w:val="0"/>
        </w:rPr>
        <w:t>Les quinze tests nominaux vérifient que le service fonctionne et que les contrôles ne cassent pas l'usage légitime. Ils couvrent l'initialisation, la recherche, le masquage, l'accès Secret, les compartiments, l'enrichissement, la corrélation, le score, les ressources, la santé, la validation, le redémarrage, l'analyse statique et l'exécution non privilégiée.</w:t>
      </w:r>
    </w:p>
    <w:p>
      <w:pPr>
        <w:keepNext w:val="0"/>
      </w:pPr>
      <w:r>
        <w:rPr>
          <w:b w:val="0"/>
          <w:i w:val="0"/>
        </w:rPr>
        <w:t xml:space="preserve">Les quinze tests nominaux réussissent tous. </w:t>
      </w:r>
      <w:r>
        <w:rPr>
          <w:b/>
          <w:i w:val="0"/>
        </w:rPr>
        <w:t>N01</w:t>
      </w:r>
      <w:r>
        <w:rPr>
          <w:b w:val="0"/>
          <w:i w:val="0"/>
        </w:rPr>
        <w:t xml:space="preserve"> initialise le protocole 2025-06-18 et découvre six outils en lecture seule ; </w:t>
      </w:r>
      <w:r>
        <w:rPr>
          <w:b/>
          <w:i w:val="0"/>
        </w:rPr>
        <w:t>N02</w:t>
      </w:r>
      <w:r>
        <w:rPr>
          <w:b w:val="0"/>
          <w:i w:val="0"/>
        </w:rPr>
        <w:t xml:space="preserve"> renvoie neuf bulletins à un analyste, sans Secret ; </w:t>
      </w:r>
      <w:r>
        <w:rPr>
          <w:b/>
          <w:i w:val="0"/>
        </w:rPr>
        <w:t>N03</w:t>
      </w:r>
      <w:r>
        <w:rPr>
          <w:b w:val="0"/>
          <w:i w:val="0"/>
        </w:rPr>
        <w:t xml:space="preserve"> masque </w:t>
      </w:r>
      <w:r>
        <w:rPr>
          <w:rFonts w:ascii="Consolas" w:hAnsi="Consolas" w:eastAsia="Consolas"/>
          <w:b w:val="0"/>
          <w:i w:val="0"/>
          <w:color w:val="1F2A3A"/>
        </w:rPr>
        <w:t>source_identity</w:t>
      </w:r>
      <w:r>
        <w:rPr>
          <w:b w:val="0"/>
          <w:i w:val="0"/>
        </w:rPr>
        <w:t xml:space="preserve"> sur un bulletin Secret ; </w:t>
      </w:r>
      <w:r>
        <w:rPr>
          <w:b/>
          <w:i w:val="0"/>
        </w:rPr>
        <w:t>N04</w:t>
      </w:r>
      <w:r>
        <w:rPr>
          <w:b w:val="0"/>
          <w:i w:val="0"/>
        </w:rPr>
        <w:t xml:space="preserve"> montre le canari uniquement dans le cercle Secret ; </w:t>
      </w:r>
      <w:r>
        <w:rPr>
          <w:b/>
          <w:i w:val="0"/>
        </w:rPr>
        <w:t>N05</w:t>
      </w:r>
      <w:r>
        <w:rPr>
          <w:b w:val="0"/>
          <w:i w:val="0"/>
        </w:rPr>
        <w:t xml:space="preserve"> sépare deux périmètres (INC voit 003 et 011, CRYPTO voit 004 et 008) ; </w:t>
      </w:r>
      <w:r>
        <w:rPr>
          <w:b/>
          <w:i w:val="0"/>
        </w:rPr>
        <w:t>N06</w:t>
      </w:r>
      <w:r>
        <w:rPr>
          <w:b w:val="0"/>
          <w:i w:val="0"/>
        </w:rPr>
        <w:t xml:space="preserve"> ne rend que quatre bulletins Public à une faible habilitation ; </w:t>
      </w:r>
      <w:r>
        <w:rPr>
          <w:b/>
          <w:i w:val="0"/>
        </w:rPr>
        <w:t>N07</w:t>
      </w:r>
      <w:r>
        <w:rPr>
          <w:b w:val="0"/>
          <w:i w:val="0"/>
        </w:rPr>
        <w:t xml:space="preserve"> applique la décroissance de confiance (0,94 → 0,758) ; </w:t>
      </w:r>
      <w:r>
        <w:rPr>
          <w:b/>
          <w:i w:val="0"/>
        </w:rPr>
        <w:t>N08</w:t>
      </w:r>
      <w:r>
        <w:rPr>
          <w:b w:val="0"/>
          <w:i w:val="0"/>
        </w:rPr>
        <w:t xml:space="preserve"> corrèle SableFin sur onze indicateurs sans inclure de canari ; </w:t>
      </w:r>
      <w:r>
        <w:rPr>
          <w:b/>
          <w:i w:val="0"/>
        </w:rPr>
        <w:t>N09</w:t>
      </w:r>
      <w:r>
        <w:rPr>
          <w:b w:val="0"/>
          <w:i w:val="0"/>
        </w:rPr>
        <w:t xml:space="preserve"> produit un score de 9,24 en priorité P1 en excluant le bulletin Secret ; </w:t>
      </w:r>
      <w:r>
        <w:rPr>
          <w:b/>
          <w:i w:val="0"/>
        </w:rPr>
        <w:t>N10</w:t>
      </w:r>
      <w:r>
        <w:rPr>
          <w:b w:val="0"/>
          <w:i w:val="0"/>
        </w:rPr>
        <w:t xml:space="preserve"> liste neuf ressources, masque 003 et refuse 004 ; </w:t>
      </w:r>
      <w:r>
        <w:rPr>
          <w:b/>
          <w:i w:val="0"/>
        </w:rPr>
        <w:t>N11</w:t>
      </w:r>
      <w:r>
        <w:rPr>
          <w:b w:val="0"/>
          <w:i w:val="0"/>
        </w:rPr>
        <w:t xml:space="preserve"> expose l'état du service sans contenu sensible ; </w:t>
      </w:r>
      <w:r>
        <w:rPr>
          <w:b/>
          <w:i w:val="0"/>
        </w:rPr>
        <w:t>N12</w:t>
      </w:r>
      <w:r>
        <w:rPr>
          <w:b w:val="0"/>
          <w:i w:val="0"/>
        </w:rPr>
        <w:t xml:space="preserve"> refuse deux entrées invalides et reste vivant ; </w:t>
      </w:r>
      <w:r>
        <w:rPr>
          <w:b/>
          <w:i w:val="0"/>
        </w:rPr>
        <w:t>N13</w:t>
      </w:r>
      <w:r>
        <w:rPr>
          <w:b w:val="0"/>
          <w:i w:val="0"/>
        </w:rPr>
        <w:t xml:space="preserve"> conserve une révocation après redémarrage avec une chaîne valide ; </w:t>
      </w:r>
      <w:r>
        <w:rPr>
          <w:b/>
          <w:i w:val="0"/>
        </w:rPr>
        <w:t>N14</w:t>
      </w:r>
      <w:r>
        <w:rPr>
          <w:b w:val="0"/>
          <w:i w:val="0"/>
        </w:rPr>
        <w:t xml:space="preserve"> ne trouve aucun client réseau ni dépendance hors bibliothèque standard ; </w:t>
      </w:r>
      <w:r>
        <w:rPr>
          <w:b/>
          <w:i w:val="0"/>
        </w:rPr>
        <w:t>N15</w:t>
      </w:r>
      <w:r>
        <w:rPr>
          <w:b w:val="0"/>
          <w:i w:val="0"/>
        </w:rPr>
        <w:t xml:space="preserve"> tourne sous </w:t>
      </w:r>
      <w:r>
        <w:rPr>
          <w:rFonts w:ascii="Consolas" w:hAnsi="Consolas" w:eastAsia="Consolas"/>
          <w:b w:val="0"/>
          <w:i w:val="0"/>
          <w:color w:val="1F2A3A"/>
        </w:rPr>
        <w:t>nobody</w:t>
      </w:r>
      <w:r>
        <w:rPr>
          <w:b w:val="0"/>
          <w:i w:val="0"/>
        </w:rPr>
        <w:t xml:space="preserve">, avec base en 0440 et clé en 0400. La source de ces résultats est </w:t>
      </w:r>
      <w:r>
        <w:rPr>
          <w:rFonts w:ascii="Consolas" w:hAnsi="Consolas" w:eastAsia="Consolas"/>
          <w:b w:val="0"/>
          <w:i w:val="0"/>
          <w:color w:val="1F2A3A"/>
        </w:rPr>
        <w:t>preuves/logs/tests_latest.json</w:t>
      </w:r>
      <w:r>
        <w:rPr>
          <w:b w:val="0"/>
          <w:i w:val="0"/>
        </w:rPr>
        <w:t>.</w:t>
      </w:r>
    </w:p>
    <w:p>
      <w:pPr>
        <w:keepNext w:val="0"/>
      </w:pPr>
      <w:r>
        <w:rPr>
          <w:b w:val="0"/>
          <w:i w:val="0"/>
        </w:rPr>
        <w:t>N13 et N15 sont les deux tests qui font passer le durcissement du discours à la preuve : persistance de la révocation, et moindre privilège vérifié par une écriture refusée.</w:t>
      </w:r>
    </w:p>
    <w:p>
      <w:pPr>
        <w:pStyle w:val="Heading2"/>
      </w:pPr>
      <w:r>
        <w:rPr>
          <w:rFonts w:ascii="Calibri" w:hAnsi="Calibri" w:eastAsia="Calibri"/>
          <w:b/>
          <w:color w:val="2F6DB3"/>
          <w:sz w:val="28"/>
        </w:rPr>
        <w:t>6.3 Tests d'abus</w:t>
      </w:r>
    </w:p>
    <w:p>
      <w:pPr>
        <w:keepNext w:val="0"/>
      </w:pPr>
      <w:r>
        <w:rPr>
          <w:b w:val="0"/>
          <w:i w:val="0"/>
        </w:rPr>
        <w:t>Les seize tests d'abus couvrent les risques R01 à R10. Ils ne cherchent pas à « casser » le serveur : ils vérifient qu'une tentative produit le comportement attendu, sans fuite et avec une trace. Chaque ligne du tableau indique le code observé et l'exigence validée.</w:t>
      </w:r>
    </w:p>
    <w:p>
      <w:pPr>
        <w:pStyle w:val="Légende"/>
        <w:keepNext/>
      </w:pPr>
      <w:r>
        <w:rPr>
          <w:rFonts w:ascii="Calibri" w:hAnsi="Calibri" w:eastAsia="Calibri"/>
          <w:i/>
          <w:color w:val="5B6577"/>
          <w:sz w:val="18"/>
        </w:rPr>
        <w:t xml:space="preserve">Tableau </w:t>
      </w:r>
      <w:r>
        <w:fldChar w:fldCharType="begin"/>
      </w:r>
      <w:r>
        <w:instrText xml:space="preserve"> SEQ Tableau \* ARABIC </w:instrText>
      </w:r>
      <w:r>
        <w:fldChar w:fldCharType="separate"/>
      </w:r>
      <w:r>
        <w:rPr>
          <w:color w:val="5B6577"/>
          <w:sz w:val="18"/>
        </w:rPr>
        <w:t>9</w:t>
      </w:r>
      <w:r>
        <w:fldChar w:fldCharType="end"/>
      </w:r>
      <w:r>
        <w:rPr>
          <w:rFonts w:ascii="Calibri" w:hAnsi="Calibri" w:eastAsia="Calibri"/>
          <w:i/>
          <w:color w:val="5B6577"/>
          <w:sz w:val="18"/>
        </w:rPr>
        <w:t xml:space="preserve"> — Scénarios d'abus et résultats</w:t>
      </w:r>
    </w:p>
    <w:tbl>
      <w:tblPr>
        <w:tblW w:type="auto" w:w="0"/>
        <w:jc w:val="center"/>
        <w:tblLayout w:type="fixed"/>
        <w:tblLook w:firstColumn="1" w:firstRow="1" w:lastColumn="0" w:lastRow="0" w:noHBand="0" w:noVBand="1" w:val="04A0"/>
        <w:tblCellMar>
          <w:top w:w="40" w:type="dxa"/>
          <w:left w:w="80" w:type="dxa"/>
          <w:bottom w:w="40" w:type="dxa"/>
          <w:right w:w="80" w:type="dxa"/>
        </w:tblCellMar>
      </w:tblPr>
      <w:tblGrid>
        <w:gridCol w:w="1928"/>
        <w:gridCol w:w="1928"/>
        <w:gridCol w:w="1928"/>
        <w:gridCol w:w="1928"/>
        <w:gridCol w:w="1928"/>
      </w:tblGrid>
      <w:tr>
        <w:trPr>
          <w:tblHeader w:val="true"/>
          <w:cantSplit w:val="true"/>
        </w:trPr>
        <w:tc>
          <w:tcPr>
            <w:tcW w:type="dxa" w:w="567"/>
            <w:shd w:val="clear" w:color="auto" w:fill="10243F"/>
          </w:tcPr>
          <w:p>
            <w:pPr>
              <w:spacing w:after="0"/>
              <w:jc w:val="center"/>
            </w:pPr>
            <w:r>
              <w:rPr>
                <w:rFonts w:ascii="Calibri" w:hAnsi="Calibri" w:eastAsia="Calibri"/>
                <w:b/>
                <w:color w:val="FFFFFF"/>
                <w:sz w:val="14"/>
              </w:rPr>
              <w:t>ID</w:t>
            </w:r>
          </w:p>
        </w:tc>
        <w:tc>
          <w:tcPr>
            <w:tcW w:type="dxa" w:w="2494"/>
            <w:shd w:val="clear" w:color="auto" w:fill="10243F"/>
          </w:tcPr>
          <w:p>
            <w:pPr>
              <w:spacing w:after="0"/>
              <w:jc w:val="center"/>
            </w:pPr>
            <w:r>
              <w:rPr>
                <w:rFonts w:ascii="Calibri" w:hAnsi="Calibri" w:eastAsia="Calibri"/>
                <w:b/>
                <w:color w:val="FFFFFF"/>
                <w:sz w:val="14"/>
              </w:rPr>
              <w:t>Scénario d'abus</w:t>
            </w:r>
          </w:p>
        </w:tc>
        <w:tc>
          <w:tcPr>
            <w:tcW w:type="dxa" w:w="2721"/>
            <w:shd w:val="clear" w:color="auto" w:fill="10243F"/>
          </w:tcPr>
          <w:p>
            <w:pPr>
              <w:spacing w:after="0"/>
              <w:jc w:val="center"/>
            </w:pPr>
            <w:r>
              <w:rPr>
                <w:rFonts w:ascii="Calibri" w:hAnsi="Calibri" w:eastAsia="Calibri"/>
                <w:b/>
                <w:color w:val="FFFFFF"/>
                <w:sz w:val="14"/>
              </w:rPr>
              <w:t>Attendu</w:t>
            </w:r>
          </w:p>
        </w:tc>
        <w:tc>
          <w:tcPr>
            <w:tcW w:type="dxa" w:w="2835"/>
            <w:shd w:val="clear" w:color="auto" w:fill="10243F"/>
          </w:tcPr>
          <w:p>
            <w:pPr>
              <w:spacing w:after="0"/>
              <w:jc w:val="center"/>
            </w:pPr>
            <w:r>
              <w:rPr>
                <w:rFonts w:ascii="Calibri" w:hAnsi="Calibri" w:eastAsia="Calibri"/>
                <w:b/>
                <w:color w:val="FFFFFF"/>
                <w:sz w:val="14"/>
              </w:rPr>
              <w:t>Obtenu</w:t>
            </w:r>
          </w:p>
        </w:tc>
        <w:tc>
          <w:tcPr>
            <w:tcW w:type="dxa" w:w="680"/>
            <w:shd w:val="clear" w:color="auto" w:fill="10243F"/>
          </w:tcPr>
          <w:p>
            <w:pPr>
              <w:spacing w:after="0"/>
              <w:jc w:val="center"/>
            </w:pPr>
            <w:r>
              <w:rPr>
                <w:rFonts w:ascii="Calibri" w:hAnsi="Calibri" w:eastAsia="Calibri"/>
                <w:b/>
                <w:color w:val="FFFFFF"/>
                <w:sz w:val="14"/>
              </w:rPr>
              <w:t>Statut</w:t>
            </w:r>
          </w:p>
        </w:tc>
      </w:tr>
      <w:tr>
        <w:trPr>
          <w:cantSplit w:val="true"/>
        </w:trPr>
        <w:tc>
          <w:tcPr>
            <w:tcW w:type="dxa" w:w="567"/>
          </w:tcPr>
          <w:p>
            <w:pPr>
              <w:spacing w:after="0" w:line="245" w:lineRule="auto"/>
              <w:jc w:val="center"/>
            </w:pPr>
            <w:r>
              <w:rPr>
                <w:b w:val="0"/>
                <w:i w:val="0"/>
                <w:sz w:val="13"/>
              </w:rPr>
              <w:t>A01</w:t>
            </w:r>
          </w:p>
        </w:tc>
        <w:tc>
          <w:tcPr>
            <w:tcW w:type="dxa" w:w="2494"/>
          </w:tcPr>
          <w:p>
            <w:pPr>
              <w:spacing w:after="0" w:line="245" w:lineRule="auto"/>
              <w:jc w:val="left"/>
            </w:pPr>
            <w:r>
              <w:rPr>
                <w:b w:val="0"/>
                <w:i w:val="0"/>
                <w:sz w:val="13"/>
              </w:rPr>
              <w:t>Appel sans jeton</w:t>
            </w:r>
          </w:p>
        </w:tc>
        <w:tc>
          <w:tcPr>
            <w:tcW w:type="dxa" w:w="2721"/>
          </w:tcPr>
          <w:p>
            <w:pPr>
              <w:spacing w:after="0" w:line="245" w:lineRule="auto"/>
              <w:jc w:val="left"/>
            </w:pPr>
            <w:r>
              <w:rPr>
                <w:b w:val="0"/>
                <w:i w:val="0"/>
                <w:sz w:val="13"/>
              </w:rPr>
              <w:t>Réponse isError, code AUTH_REFUSEE, trace avec sujet inconnu.</w:t>
            </w:r>
          </w:p>
        </w:tc>
        <w:tc>
          <w:tcPr>
            <w:tcW w:type="dxa" w:w="2835"/>
          </w:tcPr>
          <w:p>
            <w:pPr>
              <w:spacing w:after="0" w:line="245" w:lineRule="auto"/>
              <w:jc w:val="left"/>
            </w:pPr>
            <w:r>
              <w:rPr>
                <w:b w:val="0"/>
                <w:i w:val="0"/>
                <w:sz w:val="13"/>
              </w:rPr>
              <w:t>code=AUTH_REFUSEE, audit=TOKEN_INVALIDE</w:t>
            </w:r>
          </w:p>
        </w:tc>
        <w:tc>
          <w:tcPr>
            <w:tcW w:type="dxa" w:w="680"/>
          </w:tcPr>
          <w:p>
            <w:pPr>
              <w:spacing w:after="0" w:line="245" w:lineRule="auto"/>
              <w:jc w:val="center"/>
            </w:pPr>
            <w:r>
              <w:rPr>
                <w:b w:val="0"/>
                <w:i w:val="0"/>
                <w:sz w:val="13"/>
              </w:rPr>
              <w:t>testé</w:t>
            </w:r>
          </w:p>
        </w:tc>
      </w:tr>
      <w:tr>
        <w:trPr>
          <w:cantSplit w:val="true"/>
        </w:trPr>
        <w:tc>
          <w:tcPr>
            <w:tcW w:type="dxa" w:w="567"/>
            <w:shd w:val="clear" w:color="auto" w:fill="F3F6FA"/>
          </w:tcPr>
          <w:p>
            <w:pPr>
              <w:spacing w:after="0" w:line="245" w:lineRule="auto"/>
              <w:jc w:val="center"/>
            </w:pPr>
            <w:r>
              <w:rPr>
                <w:b w:val="0"/>
                <w:i w:val="0"/>
                <w:sz w:val="13"/>
              </w:rPr>
              <w:t>A02</w:t>
            </w:r>
          </w:p>
        </w:tc>
        <w:tc>
          <w:tcPr>
            <w:tcW w:type="dxa" w:w="2494"/>
            <w:shd w:val="clear" w:color="auto" w:fill="F3F6FA"/>
          </w:tcPr>
          <w:p>
            <w:pPr>
              <w:spacing w:after="0" w:line="245" w:lineRule="auto"/>
              <w:jc w:val="left"/>
            </w:pPr>
            <w:r>
              <w:rPr>
                <w:b w:val="0"/>
                <w:i w:val="0"/>
                <w:sz w:val="13"/>
              </w:rPr>
              <w:t>Jeton expiré</w:t>
            </w:r>
          </w:p>
        </w:tc>
        <w:tc>
          <w:tcPr>
            <w:tcW w:type="dxa" w:w="2721"/>
            <w:shd w:val="clear" w:color="auto" w:fill="F3F6FA"/>
          </w:tcPr>
          <w:p>
            <w:pPr>
              <w:spacing w:after="0" w:line="245" w:lineRule="auto"/>
              <w:jc w:val="left"/>
            </w:pPr>
            <w:r>
              <w:rPr>
                <w:b w:val="0"/>
                <w:i w:val="0"/>
                <w:sz w:val="13"/>
              </w:rPr>
              <w:t>Refus AUTH_REFUSEE ; audit TOKEN_EXPIRE.</w:t>
            </w:r>
          </w:p>
        </w:tc>
        <w:tc>
          <w:tcPr>
            <w:tcW w:type="dxa" w:w="2835"/>
            <w:shd w:val="clear" w:color="auto" w:fill="F3F6FA"/>
          </w:tcPr>
          <w:p>
            <w:pPr>
              <w:spacing w:after="0" w:line="245" w:lineRule="auto"/>
              <w:jc w:val="left"/>
            </w:pPr>
            <w:r>
              <w:rPr>
                <w:b w:val="0"/>
                <w:i w:val="0"/>
                <w:sz w:val="13"/>
              </w:rPr>
              <w:t>code=AUTH_REFUSEE, audit=TOKEN_EXPIRE</w:t>
            </w:r>
          </w:p>
        </w:tc>
        <w:tc>
          <w:tcPr>
            <w:tcW w:type="dxa" w:w="680"/>
            <w:shd w:val="clear" w:color="auto" w:fill="F3F6FA"/>
          </w:tcPr>
          <w:p>
            <w:pPr>
              <w:spacing w:after="0" w:line="245" w:lineRule="auto"/>
              <w:jc w:val="center"/>
            </w:pPr>
            <w:r>
              <w:rPr>
                <w:b w:val="0"/>
                <w:i w:val="0"/>
                <w:sz w:val="13"/>
              </w:rPr>
              <w:t>testé</w:t>
            </w:r>
          </w:p>
        </w:tc>
      </w:tr>
      <w:tr>
        <w:trPr>
          <w:cantSplit w:val="true"/>
        </w:trPr>
        <w:tc>
          <w:tcPr>
            <w:tcW w:type="dxa" w:w="567"/>
          </w:tcPr>
          <w:p>
            <w:pPr>
              <w:spacing w:after="0" w:line="245" w:lineRule="auto"/>
              <w:jc w:val="center"/>
            </w:pPr>
            <w:r>
              <w:rPr>
                <w:b w:val="0"/>
                <w:i w:val="0"/>
                <w:sz w:val="13"/>
              </w:rPr>
              <w:t>A03</w:t>
            </w:r>
          </w:p>
        </w:tc>
        <w:tc>
          <w:tcPr>
            <w:tcW w:type="dxa" w:w="2494"/>
          </w:tcPr>
          <w:p>
            <w:pPr>
              <w:spacing w:after="0" w:line="245" w:lineRule="auto"/>
              <w:jc w:val="left"/>
            </w:pPr>
            <w:r>
              <w:rPr>
                <w:b w:val="0"/>
                <w:i w:val="0"/>
                <w:sz w:val="13"/>
              </w:rPr>
              <w:t>Signature de jeton altérée</w:t>
            </w:r>
          </w:p>
        </w:tc>
        <w:tc>
          <w:tcPr>
            <w:tcW w:type="dxa" w:w="2721"/>
          </w:tcPr>
          <w:p>
            <w:pPr>
              <w:spacing w:after="0" w:line="245" w:lineRule="auto"/>
              <w:jc w:val="left"/>
            </w:pPr>
            <w:r>
              <w:rPr>
                <w:b w:val="0"/>
                <w:i w:val="0"/>
                <w:sz w:val="13"/>
              </w:rPr>
              <w:t>Refus AUTH_REFUSEE ; audit SIGNATURE_INVALIDE.</w:t>
            </w:r>
          </w:p>
        </w:tc>
        <w:tc>
          <w:tcPr>
            <w:tcW w:type="dxa" w:w="2835"/>
          </w:tcPr>
          <w:p>
            <w:pPr>
              <w:spacing w:after="0" w:line="245" w:lineRule="auto"/>
              <w:jc w:val="left"/>
            </w:pPr>
            <w:r>
              <w:rPr>
                <w:b w:val="0"/>
                <w:i w:val="0"/>
                <w:sz w:val="13"/>
              </w:rPr>
              <w:t>code=AUTH_REFUSEE, audit=SIGNATURE_INVALIDE</w:t>
            </w:r>
          </w:p>
        </w:tc>
        <w:tc>
          <w:tcPr>
            <w:tcW w:type="dxa" w:w="680"/>
          </w:tcPr>
          <w:p>
            <w:pPr>
              <w:spacing w:after="0" w:line="245" w:lineRule="auto"/>
              <w:jc w:val="center"/>
            </w:pPr>
            <w:r>
              <w:rPr>
                <w:b w:val="0"/>
                <w:i w:val="0"/>
                <w:sz w:val="13"/>
              </w:rPr>
              <w:t>testé</w:t>
            </w:r>
          </w:p>
        </w:tc>
      </w:tr>
      <w:tr>
        <w:trPr>
          <w:cantSplit w:val="true"/>
        </w:trPr>
        <w:tc>
          <w:tcPr>
            <w:tcW w:type="dxa" w:w="567"/>
            <w:shd w:val="clear" w:color="auto" w:fill="F3F6FA"/>
          </w:tcPr>
          <w:p>
            <w:pPr>
              <w:spacing w:after="0" w:line="245" w:lineRule="auto"/>
              <w:jc w:val="center"/>
            </w:pPr>
            <w:r>
              <w:rPr>
                <w:b w:val="0"/>
                <w:i w:val="0"/>
                <w:sz w:val="13"/>
              </w:rPr>
              <w:t>A04</w:t>
            </w:r>
          </w:p>
        </w:tc>
        <w:tc>
          <w:tcPr>
            <w:tcW w:type="dxa" w:w="2494"/>
            <w:shd w:val="clear" w:color="auto" w:fill="F3F6FA"/>
          </w:tcPr>
          <w:p>
            <w:pPr>
              <w:spacing w:after="0" w:line="245" w:lineRule="auto"/>
              <w:jc w:val="left"/>
            </w:pPr>
            <w:r>
              <w:rPr>
                <w:b w:val="0"/>
                <w:i w:val="0"/>
                <w:sz w:val="13"/>
              </w:rPr>
              <w:t>Jeton révoqué à chaud</w:t>
            </w:r>
          </w:p>
        </w:tc>
        <w:tc>
          <w:tcPr>
            <w:tcW w:type="dxa" w:w="2721"/>
            <w:shd w:val="clear" w:color="auto" w:fill="F3F6FA"/>
          </w:tcPr>
          <w:p>
            <w:pPr>
              <w:spacing w:after="0" w:line="245" w:lineRule="auto"/>
              <w:jc w:val="left"/>
            </w:pPr>
            <w:r>
              <w:rPr>
                <w:b w:val="0"/>
                <w:i w:val="0"/>
                <w:sz w:val="13"/>
              </w:rPr>
              <w:t>Premier appel autorisé, second refusé ; révocation visible à la requête suivante.</w:t>
            </w:r>
          </w:p>
        </w:tc>
        <w:tc>
          <w:tcPr>
            <w:tcW w:type="dxa" w:w="2835"/>
            <w:shd w:val="clear" w:color="auto" w:fill="F3F6FA"/>
          </w:tcPr>
          <w:p>
            <w:pPr>
              <w:spacing w:after="0" w:line="245" w:lineRule="auto"/>
              <w:jc w:val="left"/>
            </w:pPr>
            <w:r>
              <w:rPr>
                <w:b w:val="0"/>
                <w:i w:val="0"/>
                <w:sz w:val="13"/>
              </w:rPr>
              <w:t>commande=121.3 ms, application=10.0 ms, code=AUTH_REFUSEE, audit=TOKEN_REVOQUE</w:t>
            </w:r>
          </w:p>
        </w:tc>
        <w:tc>
          <w:tcPr>
            <w:tcW w:type="dxa" w:w="680"/>
            <w:shd w:val="clear" w:color="auto" w:fill="F3F6FA"/>
          </w:tcPr>
          <w:p>
            <w:pPr>
              <w:spacing w:after="0" w:line="245" w:lineRule="auto"/>
              <w:jc w:val="center"/>
            </w:pPr>
            <w:r>
              <w:rPr>
                <w:b w:val="0"/>
                <w:i w:val="0"/>
                <w:sz w:val="13"/>
              </w:rPr>
              <w:t>testé</w:t>
            </w:r>
          </w:p>
        </w:tc>
      </w:tr>
      <w:tr>
        <w:trPr>
          <w:cantSplit w:val="true"/>
        </w:trPr>
        <w:tc>
          <w:tcPr>
            <w:tcW w:type="dxa" w:w="567"/>
          </w:tcPr>
          <w:p>
            <w:pPr>
              <w:spacing w:after="0" w:line="245" w:lineRule="auto"/>
              <w:jc w:val="center"/>
            </w:pPr>
            <w:r>
              <w:rPr>
                <w:b w:val="0"/>
                <w:i w:val="0"/>
                <w:sz w:val="13"/>
              </w:rPr>
              <w:t>A05</w:t>
            </w:r>
          </w:p>
        </w:tc>
        <w:tc>
          <w:tcPr>
            <w:tcW w:type="dxa" w:w="2494"/>
          </w:tcPr>
          <w:p>
            <w:pPr>
              <w:spacing w:after="0" w:line="245" w:lineRule="auto"/>
              <w:jc w:val="left"/>
            </w:pPr>
            <w:r>
              <w:rPr>
                <w:b w:val="0"/>
                <w:i w:val="0"/>
                <w:sz w:val="13"/>
              </w:rPr>
              <w:t>Poste non conforme</w:t>
            </w:r>
          </w:p>
        </w:tc>
        <w:tc>
          <w:tcPr>
            <w:tcW w:type="dxa" w:w="2721"/>
          </w:tcPr>
          <w:p>
            <w:pPr>
              <w:spacing w:after="0" w:line="245" w:lineRule="auto"/>
              <w:jc w:val="left"/>
            </w:pPr>
            <w:r>
              <w:rPr>
                <w:b w:val="0"/>
                <w:i w:val="0"/>
                <w:sz w:val="13"/>
              </w:rPr>
              <w:t>Refus POSTURE_NON_CONFORME ; audit explicite.</w:t>
            </w:r>
          </w:p>
        </w:tc>
        <w:tc>
          <w:tcPr>
            <w:tcW w:type="dxa" w:w="2835"/>
          </w:tcPr>
          <w:p>
            <w:pPr>
              <w:spacing w:after="0" w:line="245" w:lineRule="auto"/>
              <w:jc w:val="left"/>
            </w:pPr>
            <w:r>
              <w:rPr>
                <w:b w:val="0"/>
                <w:i w:val="0"/>
                <w:sz w:val="13"/>
              </w:rPr>
              <w:t>code=POSTURE_NON_CONFORME, audit=POSTURE_NON_CONFORME</w:t>
            </w:r>
          </w:p>
        </w:tc>
        <w:tc>
          <w:tcPr>
            <w:tcW w:type="dxa" w:w="680"/>
          </w:tcPr>
          <w:p>
            <w:pPr>
              <w:spacing w:after="0" w:line="245" w:lineRule="auto"/>
              <w:jc w:val="center"/>
            </w:pPr>
            <w:r>
              <w:rPr>
                <w:b w:val="0"/>
                <w:i w:val="0"/>
                <w:sz w:val="13"/>
              </w:rPr>
              <w:t>testé</w:t>
            </w:r>
          </w:p>
        </w:tc>
      </w:tr>
      <w:tr>
        <w:trPr>
          <w:cantSplit w:val="true"/>
        </w:trPr>
        <w:tc>
          <w:tcPr>
            <w:tcW w:type="dxa" w:w="567"/>
            <w:shd w:val="clear" w:color="auto" w:fill="F3F6FA"/>
          </w:tcPr>
          <w:p>
            <w:pPr>
              <w:spacing w:after="0" w:line="245" w:lineRule="auto"/>
              <w:jc w:val="center"/>
            </w:pPr>
            <w:r>
              <w:rPr>
                <w:b w:val="0"/>
                <w:i w:val="0"/>
                <w:sz w:val="13"/>
              </w:rPr>
              <w:t>A06</w:t>
            </w:r>
          </w:p>
        </w:tc>
        <w:tc>
          <w:tcPr>
            <w:tcW w:type="dxa" w:w="2494"/>
            <w:shd w:val="clear" w:color="auto" w:fill="F3F6FA"/>
          </w:tcPr>
          <w:p>
            <w:pPr>
              <w:spacing w:after="0" w:line="245" w:lineRule="auto"/>
              <w:jc w:val="left"/>
            </w:pPr>
            <w:r>
              <w:rPr>
                <w:b w:val="0"/>
                <w:i w:val="0"/>
                <w:sz w:val="13"/>
              </w:rPr>
              <w:t>Tentative de fuite par habilitation insuffisante</w:t>
            </w:r>
          </w:p>
        </w:tc>
        <w:tc>
          <w:tcPr>
            <w:tcW w:type="dxa" w:w="2721"/>
            <w:shd w:val="clear" w:color="auto" w:fill="F3F6FA"/>
          </w:tcPr>
          <w:p>
            <w:pPr>
              <w:spacing w:after="0" w:line="245" w:lineRule="auto"/>
              <w:jc w:val="left"/>
            </w:pPr>
            <w:r>
              <w:rPr>
                <w:b w:val="0"/>
                <w:i w:val="0"/>
                <w:sz w:val="13"/>
              </w:rPr>
              <w:t>Refus générique, canari absent, audit HABILITATION_INSUFFISANTE.</w:t>
            </w:r>
          </w:p>
        </w:tc>
        <w:tc>
          <w:tcPr>
            <w:tcW w:type="dxa" w:w="2835"/>
            <w:shd w:val="clear" w:color="auto" w:fill="F3F6FA"/>
          </w:tcPr>
          <w:p>
            <w:pPr>
              <w:spacing w:after="0" w:line="245" w:lineRule="auto"/>
              <w:jc w:val="left"/>
            </w:pPr>
            <w:r>
              <w:rPr>
                <w:b w:val="0"/>
                <w:i w:val="0"/>
                <w:sz w:val="13"/>
              </w:rPr>
              <w:t>code=RESSOURCE_INDISPONIBLE, canari_present=False, audit=HABILITATION_INSUFFISANTE</w:t>
            </w:r>
          </w:p>
        </w:tc>
        <w:tc>
          <w:tcPr>
            <w:tcW w:type="dxa" w:w="680"/>
            <w:shd w:val="clear" w:color="auto" w:fill="F3F6FA"/>
          </w:tcPr>
          <w:p>
            <w:pPr>
              <w:spacing w:after="0" w:line="245" w:lineRule="auto"/>
              <w:jc w:val="center"/>
            </w:pPr>
            <w:r>
              <w:rPr>
                <w:b w:val="0"/>
                <w:i w:val="0"/>
                <w:sz w:val="13"/>
              </w:rPr>
              <w:t>testé</w:t>
            </w:r>
          </w:p>
        </w:tc>
      </w:tr>
      <w:tr>
        <w:trPr>
          <w:cantSplit w:val="true"/>
        </w:trPr>
        <w:tc>
          <w:tcPr>
            <w:tcW w:type="dxa" w:w="567"/>
          </w:tcPr>
          <w:p>
            <w:pPr>
              <w:spacing w:after="0" w:line="245" w:lineRule="auto"/>
              <w:jc w:val="center"/>
            </w:pPr>
            <w:r>
              <w:rPr>
                <w:b w:val="0"/>
                <w:i w:val="0"/>
                <w:sz w:val="13"/>
              </w:rPr>
              <w:t>A07</w:t>
            </w:r>
          </w:p>
        </w:tc>
        <w:tc>
          <w:tcPr>
            <w:tcW w:type="dxa" w:w="2494"/>
          </w:tcPr>
          <w:p>
            <w:pPr>
              <w:spacing w:after="0" w:line="245" w:lineRule="auto"/>
              <w:jc w:val="left"/>
            </w:pPr>
            <w:r>
              <w:rPr>
                <w:b w:val="0"/>
                <w:i w:val="0"/>
                <w:sz w:val="13"/>
              </w:rPr>
              <w:t>Tentative de fuite par défaut de cloisonnement</w:t>
            </w:r>
          </w:p>
        </w:tc>
        <w:tc>
          <w:tcPr>
            <w:tcW w:type="dxa" w:w="2721"/>
          </w:tcPr>
          <w:p>
            <w:pPr>
              <w:spacing w:after="0" w:line="245" w:lineRule="auto"/>
              <w:jc w:val="left"/>
            </w:pPr>
            <w:r>
              <w:rPr>
                <w:b w:val="0"/>
                <w:i w:val="0"/>
                <w:sz w:val="13"/>
              </w:rPr>
              <w:t>Refus générique, canari absent, audit BESOIN_CONNAITRE_NON_SATISFAIT.</w:t>
            </w:r>
          </w:p>
        </w:tc>
        <w:tc>
          <w:tcPr>
            <w:tcW w:type="dxa" w:w="2835"/>
          </w:tcPr>
          <w:p>
            <w:pPr>
              <w:spacing w:after="0" w:line="245" w:lineRule="auto"/>
              <w:jc w:val="left"/>
            </w:pPr>
            <w:r>
              <w:rPr>
                <w:b w:val="0"/>
                <w:i w:val="0"/>
                <w:sz w:val="13"/>
              </w:rPr>
              <w:t>code=RESSOURCE_INDISPONIBLE, canari_present=False, audit=BESOIN_CONNAITRE_NON_SATISFAIT</w:t>
            </w:r>
          </w:p>
        </w:tc>
        <w:tc>
          <w:tcPr>
            <w:tcW w:type="dxa" w:w="680"/>
          </w:tcPr>
          <w:p>
            <w:pPr>
              <w:spacing w:after="0" w:line="245" w:lineRule="auto"/>
              <w:jc w:val="center"/>
            </w:pPr>
            <w:r>
              <w:rPr>
                <w:b w:val="0"/>
                <w:i w:val="0"/>
                <w:sz w:val="13"/>
              </w:rPr>
              <w:t>testé</w:t>
            </w:r>
          </w:p>
        </w:tc>
      </w:tr>
      <w:tr>
        <w:trPr>
          <w:cantSplit w:val="true"/>
        </w:trPr>
        <w:tc>
          <w:tcPr>
            <w:tcW w:type="dxa" w:w="567"/>
            <w:shd w:val="clear" w:color="auto" w:fill="F3F6FA"/>
          </w:tcPr>
          <w:p>
            <w:pPr>
              <w:spacing w:after="0" w:line="245" w:lineRule="auto"/>
              <w:jc w:val="center"/>
            </w:pPr>
            <w:r>
              <w:rPr>
                <w:b w:val="0"/>
                <w:i w:val="0"/>
                <w:sz w:val="13"/>
              </w:rPr>
              <w:t>A08</w:t>
            </w:r>
          </w:p>
        </w:tc>
        <w:tc>
          <w:tcPr>
            <w:tcW w:type="dxa" w:w="2494"/>
            <w:shd w:val="clear" w:color="auto" w:fill="F3F6FA"/>
          </w:tcPr>
          <w:p>
            <w:pPr>
              <w:spacing w:after="0" w:line="245" w:lineRule="auto"/>
              <w:jc w:val="left"/>
            </w:pPr>
            <w:r>
              <w:rPr>
                <w:b w:val="0"/>
                <w:i w:val="0"/>
                <w:sz w:val="13"/>
              </w:rPr>
              <w:t>Énumération directe d'identifiants (IDOR)</w:t>
            </w:r>
          </w:p>
        </w:tc>
        <w:tc>
          <w:tcPr>
            <w:tcW w:type="dxa" w:w="2721"/>
            <w:shd w:val="clear" w:color="auto" w:fill="F3F6FA"/>
          </w:tcPr>
          <w:p>
            <w:pPr>
              <w:spacing w:after="0" w:line="245" w:lineRule="auto"/>
              <w:jc w:val="left"/>
            </w:pPr>
            <w:r>
              <w:rPr>
                <w:b w:val="0"/>
                <w:i w:val="0"/>
                <w:sz w:val="13"/>
              </w:rPr>
              <w:t>Même code et même message pour les deux : aucune oracle d'existence.</w:t>
            </w:r>
          </w:p>
        </w:tc>
        <w:tc>
          <w:tcPr>
            <w:tcW w:type="dxa" w:w="2835"/>
            <w:shd w:val="clear" w:color="auto" w:fill="F3F6FA"/>
          </w:tcPr>
          <w:p>
            <w:pPr>
              <w:spacing w:after="0" w:line="245" w:lineRule="auto"/>
              <w:jc w:val="left"/>
            </w:pPr>
            <w:r>
              <w:rPr>
                <w:b w:val="0"/>
                <w:i w:val="0"/>
                <w:sz w:val="13"/>
              </w:rPr>
              <w:t>codes=RESSOURCE_INDISPONIBLE/RESSOURCE_INDISPONIBLE, messages_identiques=True</w:t>
            </w:r>
          </w:p>
        </w:tc>
        <w:tc>
          <w:tcPr>
            <w:tcW w:type="dxa" w:w="680"/>
            <w:shd w:val="clear" w:color="auto" w:fill="F3F6FA"/>
          </w:tcPr>
          <w:p>
            <w:pPr>
              <w:spacing w:after="0" w:line="245" w:lineRule="auto"/>
              <w:jc w:val="center"/>
            </w:pPr>
            <w:r>
              <w:rPr>
                <w:b w:val="0"/>
                <w:i w:val="0"/>
                <w:sz w:val="13"/>
              </w:rPr>
              <w:t>testé</w:t>
            </w:r>
          </w:p>
        </w:tc>
      </w:tr>
      <w:tr>
        <w:trPr>
          <w:cantSplit w:val="true"/>
        </w:trPr>
        <w:tc>
          <w:tcPr>
            <w:tcW w:type="dxa" w:w="567"/>
          </w:tcPr>
          <w:p>
            <w:pPr>
              <w:spacing w:after="0" w:line="245" w:lineRule="auto"/>
              <w:jc w:val="center"/>
            </w:pPr>
            <w:r>
              <w:rPr>
                <w:b w:val="0"/>
                <w:i w:val="0"/>
                <w:sz w:val="13"/>
              </w:rPr>
              <w:t>A09</w:t>
            </w:r>
          </w:p>
        </w:tc>
        <w:tc>
          <w:tcPr>
            <w:tcW w:type="dxa" w:w="2494"/>
          </w:tcPr>
          <w:p>
            <w:pPr>
              <w:spacing w:after="0" w:line="245" w:lineRule="auto"/>
              <w:jc w:val="left"/>
            </w:pPr>
            <w:r>
              <w:rPr>
                <w:b w:val="0"/>
                <w:i w:val="0"/>
                <w:sz w:val="13"/>
              </w:rPr>
              <w:t>Dépassement de rôle et de finalité</w:t>
            </w:r>
          </w:p>
        </w:tc>
        <w:tc>
          <w:tcPr>
            <w:tcW w:type="dxa" w:w="2721"/>
          </w:tcPr>
          <w:p>
            <w:pPr>
              <w:spacing w:after="0" w:line="245" w:lineRule="auto"/>
              <w:jc w:val="left"/>
            </w:pPr>
            <w:r>
              <w:rPr>
                <w:b w:val="0"/>
                <w:i w:val="0"/>
                <w:sz w:val="13"/>
              </w:rPr>
              <w:t>Deux refus ACCES_REFUSE, aucune donnée d'actif retournée.</w:t>
            </w:r>
          </w:p>
        </w:tc>
        <w:tc>
          <w:tcPr>
            <w:tcW w:type="dxa" w:w="2835"/>
          </w:tcPr>
          <w:p>
            <w:pPr>
              <w:spacing w:after="0" w:line="245" w:lineRule="auto"/>
              <w:jc w:val="left"/>
            </w:pPr>
            <w:r>
              <w:rPr>
                <w:b w:val="0"/>
                <w:i w:val="0"/>
                <w:sz w:val="13"/>
              </w:rPr>
              <w:t>lecteur=ACCES_REFUSE (OUTIL_NON_AUTORISE), auditeur=ACCES_REFUSE (OUTIL_NON_AUTORISE)</w:t>
            </w:r>
          </w:p>
        </w:tc>
        <w:tc>
          <w:tcPr>
            <w:tcW w:type="dxa" w:w="680"/>
          </w:tcPr>
          <w:p>
            <w:pPr>
              <w:spacing w:after="0" w:line="245" w:lineRule="auto"/>
              <w:jc w:val="center"/>
            </w:pPr>
            <w:r>
              <w:rPr>
                <w:b w:val="0"/>
                <w:i w:val="0"/>
                <w:sz w:val="13"/>
              </w:rPr>
              <w:t>testé</w:t>
            </w:r>
          </w:p>
        </w:tc>
      </w:tr>
      <w:tr>
        <w:trPr>
          <w:cantSplit w:val="true"/>
        </w:trPr>
        <w:tc>
          <w:tcPr>
            <w:tcW w:type="dxa" w:w="567"/>
            <w:shd w:val="clear" w:color="auto" w:fill="F3F6FA"/>
          </w:tcPr>
          <w:p>
            <w:pPr>
              <w:spacing w:after="0" w:line="245" w:lineRule="auto"/>
              <w:jc w:val="center"/>
            </w:pPr>
            <w:r>
              <w:rPr>
                <w:b w:val="0"/>
                <w:i w:val="0"/>
                <w:sz w:val="13"/>
              </w:rPr>
              <w:t>A10</w:t>
            </w:r>
          </w:p>
        </w:tc>
        <w:tc>
          <w:tcPr>
            <w:tcW w:type="dxa" w:w="2494"/>
            <w:shd w:val="clear" w:color="auto" w:fill="F3F6FA"/>
          </w:tcPr>
          <w:p>
            <w:pPr>
              <w:spacing w:after="0" w:line="245" w:lineRule="auto"/>
              <w:jc w:val="left"/>
            </w:pPr>
            <w:r>
              <w:rPr>
                <w:b w:val="0"/>
                <w:i w:val="0"/>
                <w:sz w:val="13"/>
              </w:rPr>
              <w:t>Injection d'instructions dans un flux partenaire</w:t>
            </w:r>
          </w:p>
        </w:tc>
        <w:tc>
          <w:tcPr>
            <w:tcW w:type="dxa" w:w="2721"/>
            <w:shd w:val="clear" w:color="auto" w:fill="F3F6FA"/>
          </w:tcPr>
          <w:p>
            <w:pPr>
              <w:spacing w:after="0" w:line="245" w:lineRule="auto"/>
              <w:jc w:val="left"/>
            </w:pPr>
            <w:r>
              <w:rPr>
                <w:b w:val="0"/>
                <w:i w:val="0"/>
                <w:sz w:val="13"/>
              </w:rPr>
              <w:t>Contenu neutralisé, fanions d'injection, aucune instruction brute, canari absent.</w:t>
            </w:r>
          </w:p>
        </w:tc>
        <w:tc>
          <w:tcPr>
            <w:tcW w:type="dxa" w:w="2835"/>
            <w:shd w:val="clear" w:color="auto" w:fill="F3F6FA"/>
          </w:tcPr>
          <w:p>
            <w:pPr>
              <w:spacing w:after="0" w:line="245" w:lineRule="auto"/>
              <w:jc w:val="left"/>
            </w:pPr>
            <w:r>
              <w:rPr>
                <w:b w:val="0"/>
                <w:i w:val="0"/>
                <w:sz w:val="13"/>
              </w:rPr>
              <w:t>fanions=['appel_outil', 'balise_active', 'exfiltration', 'ignorer_instructions'], instruction_brute=False, canari=False</w:t>
            </w:r>
          </w:p>
        </w:tc>
        <w:tc>
          <w:tcPr>
            <w:tcW w:type="dxa" w:w="680"/>
            <w:shd w:val="clear" w:color="auto" w:fill="F3F6FA"/>
          </w:tcPr>
          <w:p>
            <w:pPr>
              <w:spacing w:after="0" w:line="245" w:lineRule="auto"/>
              <w:jc w:val="center"/>
            </w:pPr>
            <w:r>
              <w:rPr>
                <w:b w:val="0"/>
                <w:i w:val="0"/>
                <w:sz w:val="13"/>
              </w:rPr>
              <w:t>testé</w:t>
            </w:r>
          </w:p>
        </w:tc>
      </w:tr>
      <w:tr>
        <w:trPr>
          <w:cantSplit w:val="true"/>
        </w:trPr>
        <w:tc>
          <w:tcPr>
            <w:tcW w:type="dxa" w:w="567"/>
          </w:tcPr>
          <w:p>
            <w:pPr>
              <w:spacing w:after="0" w:line="245" w:lineRule="auto"/>
              <w:jc w:val="center"/>
            </w:pPr>
            <w:r>
              <w:rPr>
                <w:b w:val="0"/>
                <w:i w:val="0"/>
                <w:sz w:val="13"/>
              </w:rPr>
              <w:t>A11</w:t>
            </w:r>
          </w:p>
        </w:tc>
        <w:tc>
          <w:tcPr>
            <w:tcW w:type="dxa" w:w="2494"/>
          </w:tcPr>
          <w:p>
            <w:pPr>
              <w:spacing w:after="0" w:line="245" w:lineRule="auto"/>
              <w:jc w:val="left"/>
            </w:pPr>
            <w:r>
              <w:rPr>
                <w:b w:val="0"/>
                <w:i w:val="0"/>
                <w:sz w:val="13"/>
              </w:rPr>
              <w:t>Outil inconnu et paramètre interdit</w:t>
            </w:r>
          </w:p>
        </w:tc>
        <w:tc>
          <w:tcPr>
            <w:tcW w:type="dxa" w:w="2721"/>
          </w:tcPr>
          <w:p>
            <w:pPr>
              <w:spacing w:after="0" w:line="245" w:lineRule="auto"/>
              <w:jc w:val="left"/>
            </w:pPr>
            <w:r>
              <w:rPr>
                <w:b w:val="0"/>
                <w:i w:val="0"/>
                <w:sz w:val="13"/>
              </w:rPr>
              <w:t>Refus ACCES_REFUSE et ENTREE_INVALIDE ; serveur toujours disponible.</w:t>
            </w:r>
          </w:p>
        </w:tc>
        <w:tc>
          <w:tcPr>
            <w:tcW w:type="dxa" w:w="2835"/>
          </w:tcPr>
          <w:p>
            <w:pPr>
              <w:spacing w:after="0" w:line="245" w:lineRule="auto"/>
              <w:jc w:val="left"/>
            </w:pPr>
            <w:r>
              <w:rPr>
                <w:b w:val="0"/>
                <w:i w:val="0"/>
                <w:sz w:val="13"/>
              </w:rPr>
              <w:t>outil_inconnu=ACCES_REFUSE, paramètre=ENTREE_INVALIDE, vivant=True</w:t>
            </w:r>
          </w:p>
        </w:tc>
        <w:tc>
          <w:tcPr>
            <w:tcW w:type="dxa" w:w="680"/>
          </w:tcPr>
          <w:p>
            <w:pPr>
              <w:spacing w:after="0" w:line="245" w:lineRule="auto"/>
              <w:jc w:val="center"/>
            </w:pPr>
            <w:r>
              <w:rPr>
                <w:b w:val="0"/>
                <w:i w:val="0"/>
                <w:sz w:val="13"/>
              </w:rPr>
              <w:t>testé</w:t>
            </w:r>
          </w:p>
        </w:tc>
      </w:tr>
      <w:tr>
        <w:trPr>
          <w:cantSplit w:val="true"/>
        </w:trPr>
        <w:tc>
          <w:tcPr>
            <w:tcW w:type="dxa" w:w="567"/>
            <w:shd w:val="clear" w:color="auto" w:fill="F3F6FA"/>
          </w:tcPr>
          <w:p>
            <w:pPr>
              <w:spacing w:after="0" w:line="245" w:lineRule="auto"/>
              <w:jc w:val="center"/>
            </w:pPr>
            <w:r>
              <w:rPr>
                <w:b w:val="0"/>
                <w:i w:val="0"/>
                <w:sz w:val="13"/>
              </w:rPr>
              <w:t>A12</w:t>
            </w:r>
          </w:p>
        </w:tc>
        <w:tc>
          <w:tcPr>
            <w:tcW w:type="dxa" w:w="2494"/>
            <w:shd w:val="clear" w:color="auto" w:fill="F3F6FA"/>
          </w:tcPr>
          <w:p>
            <w:pPr>
              <w:spacing w:after="0" w:line="245" w:lineRule="auto"/>
              <w:jc w:val="left"/>
            </w:pPr>
            <w:r>
              <w:rPr>
                <w:b w:val="0"/>
                <w:i w:val="0"/>
                <w:sz w:val="13"/>
              </w:rPr>
              <w:t>Limite de débit</w:t>
            </w:r>
          </w:p>
        </w:tc>
        <w:tc>
          <w:tcPr>
            <w:tcW w:type="dxa" w:w="2721"/>
            <w:shd w:val="clear" w:color="auto" w:fill="F3F6FA"/>
          </w:tcPr>
          <w:p>
            <w:pPr>
              <w:spacing w:after="0" w:line="245" w:lineRule="auto"/>
              <w:jc w:val="left"/>
            </w:pPr>
            <w:r>
              <w:rPr>
                <w:b w:val="0"/>
                <w:i w:val="0"/>
                <w:sz w:val="13"/>
              </w:rPr>
              <w:t>Six autorisés, deux refusés LIMITE_DEBIT.</w:t>
            </w:r>
          </w:p>
        </w:tc>
        <w:tc>
          <w:tcPr>
            <w:tcW w:type="dxa" w:w="2835"/>
            <w:shd w:val="clear" w:color="auto" w:fill="F3F6FA"/>
          </w:tcPr>
          <w:p>
            <w:pPr>
              <w:spacing w:after="0" w:line="245" w:lineRule="auto"/>
              <w:jc w:val="left"/>
            </w:pPr>
            <w:r>
              <w:rPr>
                <w:b w:val="0"/>
                <w:i w:val="0"/>
                <w:sz w:val="13"/>
              </w:rPr>
              <w:t>autorisés=6, refusés=2, code=LIMITE_DEBIT</w:t>
            </w:r>
          </w:p>
        </w:tc>
        <w:tc>
          <w:tcPr>
            <w:tcW w:type="dxa" w:w="680"/>
            <w:shd w:val="clear" w:color="auto" w:fill="F3F6FA"/>
          </w:tcPr>
          <w:p>
            <w:pPr>
              <w:spacing w:after="0" w:line="245" w:lineRule="auto"/>
              <w:jc w:val="center"/>
            </w:pPr>
            <w:r>
              <w:rPr>
                <w:b w:val="0"/>
                <w:i w:val="0"/>
                <w:sz w:val="13"/>
              </w:rPr>
              <w:t>testé</w:t>
            </w:r>
          </w:p>
        </w:tc>
      </w:tr>
      <w:tr>
        <w:trPr>
          <w:cantSplit w:val="true"/>
        </w:trPr>
        <w:tc>
          <w:tcPr>
            <w:tcW w:type="dxa" w:w="567"/>
          </w:tcPr>
          <w:p>
            <w:pPr>
              <w:spacing w:after="0" w:line="245" w:lineRule="auto"/>
              <w:jc w:val="center"/>
            </w:pPr>
            <w:r>
              <w:rPr>
                <w:b w:val="0"/>
                <w:i w:val="0"/>
                <w:sz w:val="13"/>
              </w:rPr>
              <w:t>A13</w:t>
            </w:r>
          </w:p>
        </w:tc>
        <w:tc>
          <w:tcPr>
            <w:tcW w:type="dxa" w:w="2494"/>
          </w:tcPr>
          <w:p>
            <w:pPr>
              <w:spacing w:after="0" w:line="245" w:lineRule="auto"/>
              <w:jc w:val="left"/>
            </w:pPr>
            <w:r>
              <w:rPr>
                <w:b w:val="0"/>
                <w:i w:val="0"/>
                <w:sz w:val="13"/>
              </w:rPr>
              <w:t>Contournement de recherche</w:t>
            </w:r>
          </w:p>
        </w:tc>
        <w:tc>
          <w:tcPr>
            <w:tcW w:type="dxa" w:w="2721"/>
          </w:tcPr>
          <w:p>
            <w:pPr>
              <w:spacing w:after="0" w:line="245" w:lineRule="auto"/>
              <w:jc w:val="left"/>
            </w:pPr>
            <w:r>
              <w:rPr>
                <w:b w:val="0"/>
                <w:i w:val="0"/>
                <w:sz w:val="13"/>
              </w:rPr>
              <w:t>Aucune erreur serveur, aucun résultat Secret, aucune fuite.</w:t>
            </w:r>
          </w:p>
        </w:tc>
        <w:tc>
          <w:tcPr>
            <w:tcW w:type="dxa" w:w="2835"/>
          </w:tcPr>
          <w:p>
            <w:pPr>
              <w:spacing w:after="0" w:line="245" w:lineRule="auto"/>
              <w:jc w:val="left"/>
            </w:pPr>
            <w:r>
              <w:rPr>
                <w:b w:val="0"/>
                <w:i w:val="0"/>
                <w:sz w:val="13"/>
              </w:rPr>
              <w:t>sql=0, identifiant_secret=0, canari_absent=True</w:t>
            </w:r>
          </w:p>
        </w:tc>
        <w:tc>
          <w:tcPr>
            <w:tcW w:type="dxa" w:w="680"/>
          </w:tcPr>
          <w:p>
            <w:pPr>
              <w:spacing w:after="0" w:line="245" w:lineRule="auto"/>
              <w:jc w:val="center"/>
            </w:pPr>
            <w:r>
              <w:rPr>
                <w:b w:val="0"/>
                <w:i w:val="0"/>
                <w:sz w:val="13"/>
              </w:rPr>
              <w:t>testé</w:t>
            </w:r>
          </w:p>
        </w:tc>
      </w:tr>
      <w:tr>
        <w:trPr>
          <w:cantSplit w:val="true"/>
        </w:trPr>
        <w:tc>
          <w:tcPr>
            <w:tcW w:type="dxa" w:w="567"/>
            <w:shd w:val="clear" w:color="auto" w:fill="F3F6FA"/>
          </w:tcPr>
          <w:p>
            <w:pPr>
              <w:spacing w:after="0" w:line="245" w:lineRule="auto"/>
              <w:jc w:val="center"/>
            </w:pPr>
            <w:r>
              <w:rPr>
                <w:b w:val="0"/>
                <w:i w:val="0"/>
                <w:sz w:val="13"/>
              </w:rPr>
              <w:t>A14</w:t>
            </w:r>
          </w:p>
        </w:tc>
        <w:tc>
          <w:tcPr>
            <w:tcW w:type="dxa" w:w="2494"/>
            <w:shd w:val="clear" w:color="auto" w:fill="F3F6FA"/>
          </w:tcPr>
          <w:p>
            <w:pPr>
              <w:spacing w:after="0" w:line="245" w:lineRule="auto"/>
              <w:jc w:val="left"/>
            </w:pPr>
            <w:r>
              <w:rPr>
                <w:b w:val="0"/>
                <w:i w:val="0"/>
                <w:sz w:val="13"/>
              </w:rPr>
              <w:t>Falsification du journal d'audit</w:t>
            </w:r>
          </w:p>
        </w:tc>
        <w:tc>
          <w:tcPr>
            <w:tcW w:type="dxa" w:w="2721"/>
            <w:shd w:val="clear" w:color="auto" w:fill="F3F6FA"/>
          </w:tcPr>
          <w:p>
            <w:pPr>
              <w:spacing w:after="0" w:line="245" w:lineRule="auto"/>
              <w:jc w:val="left"/>
            </w:pPr>
            <w:r>
              <w:rPr>
                <w:b w:val="0"/>
                <w:i w:val="0"/>
                <w:sz w:val="13"/>
              </w:rPr>
              <w:t>La copie est détectée, l'original reste valide.</w:t>
            </w:r>
          </w:p>
        </w:tc>
        <w:tc>
          <w:tcPr>
            <w:tcW w:type="dxa" w:w="2835"/>
            <w:shd w:val="clear" w:color="auto" w:fill="F3F6FA"/>
          </w:tcPr>
          <w:p>
            <w:pPr>
              <w:spacing w:after="0" w:line="245" w:lineRule="auto"/>
              <w:jc w:val="left"/>
            </w:pPr>
            <w:r>
              <w:rPr>
                <w:b w:val="0"/>
                <w:i w:val="0"/>
                <w:sz w:val="13"/>
              </w:rPr>
              <w:t>original=True (44), copie_ok=False, rupture_seq=31</w:t>
            </w:r>
          </w:p>
        </w:tc>
        <w:tc>
          <w:tcPr>
            <w:tcW w:type="dxa" w:w="680"/>
            <w:shd w:val="clear" w:color="auto" w:fill="F3F6FA"/>
          </w:tcPr>
          <w:p>
            <w:pPr>
              <w:spacing w:after="0" w:line="245" w:lineRule="auto"/>
              <w:jc w:val="center"/>
            </w:pPr>
            <w:r>
              <w:rPr>
                <w:b w:val="0"/>
                <w:i w:val="0"/>
                <w:sz w:val="13"/>
              </w:rPr>
              <w:t>testé</w:t>
            </w:r>
          </w:p>
        </w:tc>
      </w:tr>
      <w:tr>
        <w:trPr>
          <w:cantSplit w:val="true"/>
        </w:trPr>
        <w:tc>
          <w:tcPr>
            <w:tcW w:type="dxa" w:w="567"/>
          </w:tcPr>
          <w:p>
            <w:pPr>
              <w:spacing w:after="0" w:line="245" w:lineRule="auto"/>
              <w:jc w:val="center"/>
            </w:pPr>
            <w:r>
              <w:rPr>
                <w:b w:val="0"/>
                <w:i w:val="0"/>
                <w:sz w:val="13"/>
              </w:rPr>
              <w:t>A15</w:t>
            </w:r>
          </w:p>
        </w:tc>
        <w:tc>
          <w:tcPr>
            <w:tcW w:type="dxa" w:w="2494"/>
          </w:tcPr>
          <w:p>
            <w:pPr>
              <w:spacing w:after="0" w:line="245" w:lineRule="auto"/>
              <w:jc w:val="left"/>
            </w:pPr>
            <w:r>
              <w:rPr>
                <w:b w:val="0"/>
                <w:i w:val="0"/>
                <w:sz w:val="13"/>
              </w:rPr>
              <w:t>Lecture directe d'une ressource Secret</w:t>
            </w:r>
          </w:p>
        </w:tc>
        <w:tc>
          <w:tcPr>
            <w:tcW w:type="dxa" w:w="2721"/>
          </w:tcPr>
          <w:p>
            <w:pPr>
              <w:spacing w:after="0" w:line="245" w:lineRule="auto"/>
              <w:jc w:val="left"/>
            </w:pPr>
            <w:r>
              <w:rPr>
                <w:b w:val="0"/>
                <w:i w:val="0"/>
                <w:sz w:val="13"/>
              </w:rPr>
              <w:t>Erreur -32002, aucune ressource retournée, audit BESOIN/HABILITATION.</w:t>
            </w:r>
          </w:p>
        </w:tc>
        <w:tc>
          <w:tcPr>
            <w:tcW w:type="dxa" w:w="2835"/>
          </w:tcPr>
          <w:p>
            <w:pPr>
              <w:spacing w:after="0" w:line="245" w:lineRule="auto"/>
              <w:jc w:val="left"/>
            </w:pPr>
            <w:r>
              <w:rPr>
                <w:b w:val="0"/>
                <w:i w:val="0"/>
                <w:sz w:val="13"/>
              </w:rPr>
              <w:t>erreur=-32002, audit=HABILITATION_INSUFFISANTE</w:t>
            </w:r>
          </w:p>
        </w:tc>
        <w:tc>
          <w:tcPr>
            <w:tcW w:type="dxa" w:w="680"/>
          </w:tcPr>
          <w:p>
            <w:pPr>
              <w:spacing w:after="0" w:line="245" w:lineRule="auto"/>
              <w:jc w:val="center"/>
            </w:pPr>
            <w:r>
              <w:rPr>
                <w:b w:val="0"/>
                <w:i w:val="0"/>
                <w:sz w:val="13"/>
              </w:rPr>
              <w:t>testé</w:t>
            </w:r>
          </w:p>
        </w:tc>
      </w:tr>
      <w:tr>
        <w:trPr>
          <w:cantSplit w:val="true"/>
        </w:trPr>
        <w:tc>
          <w:tcPr>
            <w:tcW w:type="dxa" w:w="567"/>
            <w:shd w:val="clear" w:color="auto" w:fill="F3F6FA"/>
          </w:tcPr>
          <w:p>
            <w:pPr>
              <w:spacing w:after="0" w:line="245" w:lineRule="auto"/>
              <w:jc w:val="center"/>
            </w:pPr>
            <w:r>
              <w:rPr>
                <w:b w:val="0"/>
                <w:i w:val="0"/>
                <w:sz w:val="13"/>
              </w:rPr>
              <w:t>A16</w:t>
            </w:r>
          </w:p>
        </w:tc>
        <w:tc>
          <w:tcPr>
            <w:tcW w:type="dxa" w:w="2494"/>
            <w:shd w:val="clear" w:color="auto" w:fill="F3F6FA"/>
          </w:tcPr>
          <w:p>
            <w:pPr>
              <w:spacing w:after="0" w:line="245" w:lineRule="auto"/>
              <w:jc w:val="left"/>
            </w:pPr>
            <w:r>
              <w:rPr>
                <w:b w:val="0"/>
                <w:i w:val="0"/>
                <w:sz w:val="13"/>
              </w:rPr>
              <w:t>Message JSON malformé</w:t>
            </w:r>
          </w:p>
        </w:tc>
        <w:tc>
          <w:tcPr>
            <w:tcW w:type="dxa" w:w="2721"/>
            <w:shd w:val="clear" w:color="auto" w:fill="F3F6FA"/>
          </w:tcPr>
          <w:p>
            <w:pPr>
              <w:spacing w:after="0" w:line="245" w:lineRule="auto"/>
              <w:jc w:val="left"/>
            </w:pPr>
            <w:r>
              <w:rPr>
                <w:b w:val="0"/>
                <w:i w:val="0"/>
                <w:sz w:val="13"/>
              </w:rPr>
              <w:t>Erreur -32700 puis serveur toujours vivant.</w:t>
            </w:r>
          </w:p>
        </w:tc>
        <w:tc>
          <w:tcPr>
            <w:tcW w:type="dxa" w:w="2835"/>
            <w:shd w:val="clear" w:color="auto" w:fill="F3F6FA"/>
          </w:tcPr>
          <w:p>
            <w:pPr>
              <w:spacing w:after="0" w:line="245" w:lineRule="auto"/>
              <w:jc w:val="left"/>
            </w:pPr>
            <w:r>
              <w:rPr>
                <w:b w:val="0"/>
                <w:i w:val="0"/>
                <w:sz w:val="13"/>
              </w:rPr>
              <w:t>code_erreur=-32700, serveur_vivant=True</w:t>
            </w:r>
          </w:p>
        </w:tc>
        <w:tc>
          <w:tcPr>
            <w:tcW w:type="dxa" w:w="680"/>
            <w:shd w:val="clear" w:color="auto" w:fill="F3F6FA"/>
          </w:tcPr>
          <w:p>
            <w:pPr>
              <w:spacing w:after="0" w:line="245" w:lineRule="auto"/>
              <w:jc w:val="center"/>
            </w:pPr>
            <w:r>
              <w:rPr>
                <w:b w:val="0"/>
                <w:i w:val="0"/>
                <w:sz w:val="13"/>
              </w:rPr>
              <w:t>testé</w:t>
            </w:r>
          </w:p>
        </w:tc>
      </w:tr>
    </w:tbl>
    <w:p>
      <w:pPr>
        <w:pStyle w:val="Source"/>
      </w:pPr>
      <w:r>
        <w:rPr>
          <w:rFonts w:ascii="Calibri" w:hAnsi="Calibri" w:eastAsia="Calibri"/>
          <w:i/>
          <w:color w:val="5B6577"/>
          <w:sz w:val="16"/>
        </w:rPr>
        <w:t xml:space="preserve">Source : </w:t>
      </w:r>
      <w:r>
        <w:rPr>
          <w:rFonts w:ascii="Consolas" w:hAnsi="Consolas" w:eastAsia="Consolas"/>
          <w:i/>
          <w:color w:val="5B6577"/>
          <w:sz w:val="15"/>
        </w:rPr>
        <w:t>preuves/logs/tests_latest.json</w:t>
      </w:r>
      <w:r>
        <w:rPr>
          <w:rFonts w:ascii="Calibri" w:hAnsi="Calibri" w:eastAsia="Calibri"/>
          <w:i/>
          <w:color w:val="5B6577"/>
          <w:sz w:val="16"/>
        </w:rPr>
        <w:t xml:space="preserve"> ; 16/16 abus maîtrisés.</w:t>
      </w:r>
    </w:p>
    <w:p>
      <w:pPr>
        <w:keepNext w:val="0"/>
      </w:pPr>
      <w:r>
        <w:rPr>
          <w:b w:val="0"/>
          <w:i w:val="0"/>
        </w:rPr>
        <w:t xml:space="preserve">Le résultat le plus important n'est pas le compteur 16/16 : c'est la cohérence entre le refus et la trace. A06 et A07 renvoient le même message générique au client, mais l'audit distingue </w:t>
      </w:r>
      <w:r>
        <w:rPr>
          <w:rFonts w:ascii="Consolas" w:hAnsi="Consolas" w:eastAsia="Consolas"/>
          <w:b w:val="0"/>
          <w:i w:val="0"/>
          <w:color w:val="1F2A3A"/>
        </w:rPr>
        <w:t>HABILITATION_INSUFFISANTE</w:t>
      </w:r>
      <w:r>
        <w:rPr>
          <w:b w:val="0"/>
          <w:i w:val="0"/>
        </w:rPr>
        <w:t xml:space="preserve"> et </w:t>
      </w:r>
      <w:r>
        <w:rPr>
          <w:rFonts w:ascii="Consolas" w:hAnsi="Consolas" w:eastAsia="Consolas"/>
          <w:b w:val="0"/>
          <w:i w:val="0"/>
          <w:color w:val="1F2A3A"/>
        </w:rPr>
        <w:t>BESOIN_CONNAITRE_NON_SATISFAIT</w:t>
      </w:r>
      <w:r>
        <w:rPr>
          <w:b w:val="0"/>
          <w:i w:val="0"/>
        </w:rPr>
        <w:t>. A08 vérifie que deux appels — l'un vers une ressource Secret, l'autre vers une ressource inexistante — produisent le même code et le même message. A14 falsifie une copie du journal et vérifie que la chaîne détecte la rupture. Ces tests transforment une promesse de confidentialité en comportement observable.</w:t>
      </w:r>
    </w:p>
    <w:p>
      <w:pPr>
        <w:pStyle w:val="Heading2"/>
      </w:pPr>
      <w:r>
        <w:rPr>
          <w:rFonts w:ascii="Calibri" w:hAnsi="Calibri" w:eastAsia="Calibri"/>
          <w:b/>
          <w:color w:val="2F6DB3"/>
          <w:sz w:val="28"/>
        </w:rPr>
        <w:t>6.4 Captures d'écran réelles du projet</w:t>
      </w:r>
    </w:p>
    <w:p>
      <w:pPr>
        <w:keepNext w:val="0"/>
      </w:pPr>
      <w:r>
        <w:rPr>
          <w:b w:val="0"/>
          <w:i w:val="0"/>
        </w:rPr>
        <w:t xml:space="preserve">Les sept captures suivantes sont de vraies captures d'écran du terminal du projet en exécution, prises le 29 octobre 2026 dans le laboratoire. Ce ne sont ni des images téléchargées, ni des maquettes : la fenêtre </w:t>
      </w:r>
      <w:r>
        <w:rPr>
          <w:rFonts w:ascii="Consolas" w:hAnsi="Consolas" w:eastAsia="Consolas"/>
          <w:b w:val="0"/>
          <w:i w:val="0"/>
          <w:color w:val="1F2A3A"/>
        </w:rPr>
        <w:t>xterm</w:t>
      </w:r>
      <w:r>
        <w:rPr>
          <w:b w:val="0"/>
          <w:i w:val="0"/>
        </w:rPr>
        <w:t xml:space="preserve"> a été capturée telle quelle (</w:t>
      </w:r>
      <w:r>
        <w:rPr>
          <w:rFonts w:ascii="Consolas" w:hAnsi="Consolas" w:eastAsia="Consolas"/>
          <w:b w:val="0"/>
          <w:i w:val="0"/>
          <w:color w:val="1F2A3A"/>
        </w:rPr>
        <w:t>xwd</w:t>
      </w:r>
      <w:r>
        <w:rPr>
          <w:b w:val="0"/>
          <w:i w:val="0"/>
        </w:rPr>
        <w:t xml:space="preserve">) pendant que les commandes du projet s'exécutaient. On y voit les chemins, les commandes, les sorties et le curseur du shell ; les fichiers PNG sont dans </w:t>
      </w:r>
      <w:r>
        <w:rPr>
          <w:rFonts w:ascii="Consolas" w:hAnsi="Consolas" w:eastAsia="Consolas"/>
          <w:b w:val="0"/>
          <w:i w:val="0"/>
          <w:color w:val="1F2A3A"/>
        </w:rPr>
        <w:t>preuves/captures_ecran/</w:t>
      </w:r>
      <w:r>
        <w:rPr>
          <w:b w:val="0"/>
          <w:i w:val="0"/>
        </w:rPr>
        <w:t xml:space="preserve"> et dans </w:t>
      </w:r>
      <w:r>
        <w:rPr>
          <w:rFonts w:ascii="Consolas" w:hAnsi="Consolas" w:eastAsia="Consolas"/>
          <w:b w:val="0"/>
          <w:i w:val="0"/>
          <w:color w:val="1F2A3A"/>
        </w:rPr>
        <w:t>projet/captures/</w:t>
      </w:r>
      <w:r>
        <w:rPr>
          <w:b w:val="0"/>
          <w:i w:val="0"/>
        </w:rPr>
        <w:t>.</w:t>
      </w:r>
    </w:p>
    <w:p>
      <w:pPr>
        <w:keepNext w:val="0"/>
      </w:pPr>
      <w:r>
        <w:rPr>
          <w:b w:val="0"/>
          <w:i w:val="0"/>
        </w:rPr>
        <w:t>Le projet est un serveur MCP en terminal : son interface est la session stdio, pas une fenêtre graphique. Les sept écrans couvrent donc le parcours complet : environnement et données, découverte des six outils, deux fuites bloquées, accès légitime et injection neutralisée, journal et falsification, comparaison avant/après, puis exécution sans privilège.</w:t>
      </w:r>
    </w:p>
    <w:tbl>
      <w:tblPr>
        <w:tblW w:type="auto" w:w="0"/>
        <w:jc w:val="center"/>
        <w:tblLayout w:type="fixed"/>
        <w:tblLook w:firstColumn="1" w:firstRow="1" w:lastColumn="0" w:lastRow="0" w:noHBand="0" w:noVBand="1" w:val="04A0"/>
        <w:tblCellMar>
          <w:top w:w="90" w:type="dxa"/>
          <w:left w:w="140" w:type="dxa"/>
          <w:bottom w:w="90" w:type="dxa"/>
          <w:right w:w="140" w:type="dxa"/>
        </w:tblCellMar>
      </w:tblPr>
      <w:tblGrid>
        <w:gridCol w:w="9638"/>
      </w:tblGrid>
      <w:tr>
        <w:tc>
          <w:tcPr>
            <w:tcW w:type="dxa" w:w="9411"/>
            <w:shd w:val="clear" w:color="auto" w:fill="EEF4FB"/>
            <w:tcBorders>
              <w:top w:val="nil"/>
              <w:bottom w:val="nil"/>
              <w:right w:val="nil"/>
              <w:left w:val="single" w:sz="18" w:color="2F6DB3"/>
            </w:tcBorders>
          </w:tcPr>
          <w:p>
            <w:pPr>
              <w:spacing w:after="40"/>
            </w:pPr>
            <w:r>
              <w:rPr>
                <w:rFonts w:ascii="Calibri" w:hAnsi="Calibri" w:eastAsia="Calibri"/>
                <w:b/>
                <w:color w:val="10243F"/>
                <w:sz w:val="19"/>
              </w:rPr>
              <w:t>Conditions de prise de vue</w:t>
            </w:r>
          </w:p>
          <w:p>
            <w:pPr>
              <w:spacing w:after="0"/>
            </w:pPr>
            <w:r>
              <w:rPr>
                <w:b w:val="0"/>
                <w:i w:val="0"/>
                <w:sz w:val="19"/>
              </w:rPr>
              <w:t xml:space="preserve">Terminal </w:t>
            </w:r>
            <w:r>
              <w:rPr>
                <w:rFonts w:ascii="Consolas" w:hAnsi="Consolas" w:eastAsia="Consolas"/>
                <w:b w:val="0"/>
                <w:i w:val="0"/>
                <w:color w:val="1F2A3A"/>
                <w:sz w:val="18"/>
              </w:rPr>
              <w:t>xterm</w:t>
            </w:r>
            <w:r>
              <w:rPr>
                <w:b w:val="0"/>
                <w:i w:val="0"/>
                <w:sz w:val="19"/>
              </w:rPr>
              <w:t xml:space="preserve"> (112×44, DejaVu Sans Mono) sur un serveur X virtuel (Xvfb) dans le bac à sable, le 29 octobre 2026. Capture de la fenêtre avec </w:t>
            </w:r>
            <w:r>
              <w:rPr>
                <w:rFonts w:ascii="Consolas" w:hAnsi="Consolas" w:eastAsia="Consolas"/>
                <w:b w:val="0"/>
                <w:i w:val="0"/>
                <w:color w:val="1F2A3A"/>
                <w:sz w:val="18"/>
              </w:rPr>
              <w:t>xwd</w:t>
            </w:r>
            <w:r>
              <w:rPr>
                <w:b w:val="0"/>
                <w:i w:val="0"/>
                <w:sz w:val="19"/>
              </w:rPr>
              <w:t>, sans retouche du contenu ; seules les marges vides ont été rognées. Les commandes sont celles du projet et les sorties proviennent du serveur réel.</w:t>
            </w:r>
          </w:p>
        </w:tc>
      </w:tr>
    </w:tbl>
    <w:p>
      <w:pPr>
        <w:keepNext/>
        <w:pBdr>
          <w:bottom w:val="single" w:sz="4" w:space="4" w:color="C9CED6"/>
        </w:pBdr>
        <w:tabs>
          <w:tab w:pos="9298" w:val="right"/>
        </w:tabs>
        <w:spacing w:before="200" w:after="60"/>
      </w:pPr>
      <w:r>
        <w:rPr>
          <w:rFonts w:ascii="Calibri" w:hAnsi="Calibri" w:eastAsia="Calibri"/>
          <w:b/>
          <w:color w:val="2F6DB3"/>
          <w:spacing w:val="30"/>
          <w:sz w:val="15"/>
        </w:rPr>
        <w:t>CAPTURE 1 / 7</w:t>
      </w:r>
      <w:r>
        <w:rPr>
          <w:rFonts w:ascii="Calibri" w:hAnsi="Calibri" w:eastAsia="Calibri"/>
          <w:b/>
          <w:color w:val="10243F"/>
          <w:sz w:val="18"/>
        </w:rPr>
        <w:t xml:space="preserve">   Environnement et jeu de données</w:t>
      </w:r>
      <w:r>
        <w:rPr>
          <w:rFonts w:ascii="Calibri" w:hAnsi="Calibri" w:eastAsia="Calibri"/>
          <w:i/>
          <w:color w:val="5B6577"/>
          <w:sz w:val="16"/>
        </w:rPr>
        <w:tab/>
        <w:t>terminal du projet · 29 octobre 2026</w:t>
      </w:r>
    </w:p>
    <w:p>
      <w:pPr>
        <w:keepNext/>
        <w:spacing w:before="100" w:after="40"/>
        <w:jc w:val="center"/>
      </w:pPr>
      <w:r>
        <w:drawing>
          <wp:inline xmlns:a="http://schemas.openxmlformats.org/drawingml/2006/main" xmlns:pic="http://schemas.openxmlformats.org/drawingml/2006/picture">
            <wp:extent cx="5903999" cy="2853998"/>
            <wp:docPr id="5" name="Picture 5"/>
            <wp:cNvGraphicFramePr>
              <a:graphicFrameLocks noChangeAspect="1"/>
            </wp:cNvGraphicFramePr>
            <a:graphic>
              <a:graphicData uri="http://schemas.openxmlformats.org/drawingml/2006/picture">
                <pic:pic>
                  <pic:nvPicPr>
                    <pic:cNvPr id="0" name="01_environnement_donnees.png"/>
                    <pic:cNvPicPr/>
                  </pic:nvPicPr>
                  <pic:blipFill>
                    <a:blip r:embed="rId17"/>
                    <a:stretch>
                      <a:fillRect/>
                    </a:stretch>
                  </pic:blipFill>
                  <pic:spPr>
                    <a:xfrm>
                      <a:off x="0" y="0"/>
                      <a:ext cx="5903999" cy="2853998"/>
                    </a:xfrm>
                    <a:prstGeom prst="rect"/>
                    <a:ln w="9525">
                      <a:solidFill>
                        <a:srgbClr val="C9CED6"/>
                      </a:solidFill>
                    </a:ln>
                  </pic:spPr>
                </pic:pic>
              </a:graphicData>
            </a:graphic>
          </wp:inline>
        </w:drawing>
      </w:r>
    </w:p>
    <w:p>
      <w:pPr>
        <w:pStyle w:val="Légende"/>
        <w:keepNext/>
      </w:pPr>
      <w:r>
        <w:rPr>
          <w:rFonts w:ascii="Calibri" w:hAnsi="Calibri" w:eastAsia="Calibri"/>
          <w:i/>
          <w:color w:val="5B6577"/>
          <w:sz w:val="18"/>
        </w:rPr>
        <w:t xml:space="preserve">Figure </w:t>
      </w:r>
      <w:r>
        <w:fldChar w:fldCharType="begin"/>
      </w:r>
      <w:r>
        <w:instrText xml:space="preserve"> SEQ Figure \* ARABIC </w:instrText>
      </w:r>
      <w:r>
        <w:fldChar w:fldCharType="separate"/>
      </w:r>
      <w:r>
        <w:rPr>
          <w:color w:val="5B6577"/>
          <w:sz w:val="18"/>
        </w:rPr>
        <w:t>4</w:t>
      </w:r>
      <w:r>
        <w:fldChar w:fldCharType="end"/>
      </w:r>
      <w:r>
        <w:rPr>
          <w:rFonts w:ascii="Calibri" w:hAnsi="Calibri" w:eastAsia="Calibri"/>
          <w:i/>
          <w:color w:val="5B6577"/>
          <w:sz w:val="18"/>
        </w:rPr>
        <w:t xml:space="preserve"> — Environnement réel : Python 3.14.4, SQLite 3.46.1 et base de 12 bulletins, 30 indicateurs et 6 actifs</w:t>
      </w:r>
    </w:p>
    <w:p>
      <w:pPr>
        <w:pStyle w:val="Source"/>
      </w:pPr>
      <w:r>
        <w:rPr>
          <w:rFonts w:ascii="Calibri" w:hAnsi="Calibri" w:eastAsia="Calibri"/>
          <w:i/>
          <w:color w:val="5B6577"/>
          <w:sz w:val="16"/>
        </w:rPr>
        <w:t xml:space="preserve">Capture d'écran du terminal ; commandes </w:t>
      </w:r>
      <w:r>
        <w:rPr>
          <w:rFonts w:ascii="Consolas" w:hAnsi="Consolas" w:eastAsia="Consolas"/>
          <w:i/>
          <w:color w:val="5B6577"/>
          <w:sz w:val="15"/>
        </w:rPr>
        <w:t>pwd</w:t>
      </w:r>
      <w:r>
        <w:rPr>
          <w:rFonts w:ascii="Calibri" w:hAnsi="Calibri" w:eastAsia="Calibri"/>
          <w:i/>
          <w:color w:val="5B6577"/>
          <w:sz w:val="16"/>
        </w:rPr>
        <w:t xml:space="preserve">, </w:t>
      </w:r>
      <w:r>
        <w:rPr>
          <w:rFonts w:ascii="Consolas" w:hAnsi="Consolas" w:eastAsia="Consolas"/>
          <w:i/>
          <w:color w:val="5B6577"/>
          <w:sz w:val="15"/>
        </w:rPr>
        <w:t>ls</w:t>
      </w:r>
      <w:r>
        <w:rPr>
          <w:rFonts w:ascii="Calibri" w:hAnsi="Calibri" w:eastAsia="Calibri"/>
          <w:i/>
          <w:color w:val="5B6577"/>
          <w:sz w:val="16"/>
        </w:rPr>
        <w:t xml:space="preserve">, </w:t>
      </w:r>
      <w:r>
        <w:rPr>
          <w:rFonts w:ascii="Consolas" w:hAnsi="Consolas" w:eastAsia="Consolas"/>
          <w:i/>
          <w:color w:val="5B6577"/>
          <w:sz w:val="15"/>
        </w:rPr>
        <w:t>python3 --version</w:t>
      </w:r>
      <w:r>
        <w:rPr>
          <w:rFonts w:ascii="Calibri" w:hAnsi="Calibri" w:eastAsia="Calibri"/>
          <w:i/>
          <w:color w:val="5B6577"/>
          <w:sz w:val="16"/>
        </w:rPr>
        <w:t xml:space="preserve"> et </w:t>
      </w:r>
      <w:r>
        <w:rPr>
          <w:rFonts w:ascii="Consolas" w:hAnsi="Consolas" w:eastAsia="Consolas"/>
          <w:i/>
          <w:color w:val="5B6577"/>
          <w:sz w:val="15"/>
        </w:rPr>
        <w:t>src/ti_cli.py stats</w:t>
      </w:r>
      <w:r>
        <w:rPr>
          <w:rFonts w:ascii="Calibri" w:hAnsi="Calibri" w:eastAsia="Calibri"/>
          <w:i/>
          <w:color w:val="5B6577"/>
          <w:sz w:val="16"/>
        </w:rPr>
        <w:t>.</w:t>
      </w:r>
    </w:p>
    <w:p>
      <w:pPr>
        <w:keepNext/>
        <w:pBdr>
          <w:bottom w:val="single" w:sz="4" w:space="4" w:color="C9CED6"/>
        </w:pBdr>
        <w:tabs>
          <w:tab w:pos="9298" w:val="right"/>
        </w:tabs>
        <w:spacing w:before="200" w:after="60"/>
      </w:pPr>
      <w:r>
        <w:rPr>
          <w:rFonts w:ascii="Calibri" w:hAnsi="Calibri" w:eastAsia="Calibri"/>
          <w:b/>
          <w:color w:val="2F6DB3"/>
          <w:spacing w:val="30"/>
          <w:sz w:val="15"/>
        </w:rPr>
        <w:t>CAPTURE 2 / 7</w:t>
      </w:r>
      <w:r>
        <w:rPr>
          <w:rFonts w:ascii="Calibri" w:hAnsi="Calibri" w:eastAsia="Calibri"/>
          <w:b/>
          <w:color w:val="10243F"/>
          <w:sz w:val="18"/>
        </w:rPr>
        <w:t xml:space="preserve">   Interface MCP et six outils</w:t>
      </w:r>
      <w:r>
        <w:rPr>
          <w:rFonts w:ascii="Calibri" w:hAnsi="Calibri" w:eastAsia="Calibri"/>
          <w:i/>
          <w:color w:val="5B6577"/>
          <w:sz w:val="16"/>
        </w:rPr>
        <w:tab/>
        <w:t>session stdio · initialize et tools/list</w:t>
      </w:r>
    </w:p>
    <w:p>
      <w:pPr>
        <w:keepNext/>
        <w:spacing w:before="100" w:after="40"/>
        <w:jc w:val="center"/>
      </w:pPr>
      <w:r>
        <w:drawing>
          <wp:inline xmlns:a="http://schemas.openxmlformats.org/drawingml/2006/main" xmlns:pic="http://schemas.openxmlformats.org/drawingml/2006/picture">
            <wp:extent cx="5903999" cy="2448000"/>
            <wp:docPr id="6" name="Picture 6"/>
            <wp:cNvGraphicFramePr>
              <a:graphicFrameLocks noChangeAspect="1"/>
            </wp:cNvGraphicFramePr>
            <a:graphic>
              <a:graphicData uri="http://schemas.openxmlformats.org/drawingml/2006/picture">
                <pic:pic>
                  <pic:nvPicPr>
                    <pic:cNvPr id="0" name="02_interface_mcp_six_outils.png"/>
                    <pic:cNvPicPr/>
                  </pic:nvPicPr>
                  <pic:blipFill>
                    <a:blip r:embed="rId18"/>
                    <a:stretch>
                      <a:fillRect/>
                    </a:stretch>
                  </pic:blipFill>
                  <pic:spPr>
                    <a:xfrm>
                      <a:off x="0" y="0"/>
                      <a:ext cx="5903999" cy="2448000"/>
                    </a:xfrm>
                    <a:prstGeom prst="rect"/>
                    <a:ln w="9525">
                      <a:solidFill>
                        <a:srgbClr val="C9CED6"/>
                      </a:solidFill>
                    </a:ln>
                  </pic:spPr>
                </pic:pic>
              </a:graphicData>
            </a:graphic>
          </wp:inline>
        </w:drawing>
      </w:r>
    </w:p>
    <w:p>
      <w:pPr>
        <w:pStyle w:val="Légende"/>
        <w:keepNext/>
      </w:pPr>
      <w:r>
        <w:rPr>
          <w:rFonts w:ascii="Calibri" w:hAnsi="Calibri" w:eastAsia="Calibri"/>
          <w:i/>
          <w:color w:val="5B6577"/>
          <w:sz w:val="18"/>
        </w:rPr>
        <w:t xml:space="preserve">Figure </w:t>
      </w:r>
      <w:r>
        <w:fldChar w:fldCharType="begin"/>
      </w:r>
      <w:r>
        <w:instrText xml:space="preserve"> SEQ Figure \* ARABIC </w:instrText>
      </w:r>
      <w:r>
        <w:fldChar w:fldCharType="separate"/>
      </w:r>
      <w:r>
        <w:rPr>
          <w:color w:val="5B6577"/>
          <w:sz w:val="18"/>
        </w:rPr>
        <w:t>5</w:t>
      </w:r>
      <w:r>
        <w:fldChar w:fldCharType="end"/>
      </w:r>
      <w:r>
        <w:rPr>
          <w:rFonts w:ascii="Calibri" w:hAnsi="Calibri" w:eastAsia="Calibri"/>
          <w:i/>
          <w:color w:val="5B6577"/>
          <w:sz w:val="18"/>
        </w:rPr>
        <w:t xml:space="preserve"> — Découverte réelle du serveur : protocole 2025-06-18, six outils en lecture seule, neuf bulletins visibles</w:t>
      </w:r>
    </w:p>
    <w:p>
      <w:pPr>
        <w:pStyle w:val="Source"/>
      </w:pPr>
      <w:r>
        <w:rPr>
          <w:rFonts w:ascii="Calibri" w:hAnsi="Calibri" w:eastAsia="Calibri"/>
          <w:i/>
          <w:color w:val="5B6577"/>
          <w:sz w:val="16"/>
        </w:rPr>
        <w:t xml:space="preserve">Capture d'écran du terminal ; commande </w:t>
      </w:r>
      <w:r>
        <w:rPr>
          <w:rFonts w:ascii="Consolas" w:hAnsi="Consolas" w:eastAsia="Consolas"/>
          <w:i/>
          <w:color w:val="5B6577"/>
          <w:sz w:val="15"/>
        </w:rPr>
        <w:t>python3 scripts/demo_defense.py</w:t>
      </w:r>
      <w:r>
        <w:rPr>
          <w:rFonts w:ascii="Calibri" w:hAnsi="Calibri" w:eastAsia="Calibri"/>
          <w:i/>
          <w:color w:val="5B6577"/>
          <w:sz w:val="16"/>
        </w:rPr>
        <w:t>, scène S1.</w:t>
      </w:r>
    </w:p>
    <w:p>
      <w:pPr>
        <w:keepNext/>
        <w:pBdr>
          <w:bottom w:val="single" w:sz="4" w:space="4" w:color="C9CED6"/>
        </w:pBdr>
        <w:tabs>
          <w:tab w:pos="9298" w:val="right"/>
        </w:tabs>
        <w:spacing w:before="200" w:after="60"/>
      </w:pPr>
      <w:r>
        <w:rPr>
          <w:rFonts w:ascii="Calibri" w:hAnsi="Calibri" w:eastAsia="Calibri"/>
          <w:b/>
          <w:color w:val="2F6DB3"/>
          <w:spacing w:val="30"/>
          <w:sz w:val="15"/>
        </w:rPr>
        <w:t>CAPTURE 3 / 7</w:t>
      </w:r>
      <w:r>
        <w:rPr>
          <w:rFonts w:ascii="Calibri" w:hAnsi="Calibri" w:eastAsia="Calibri"/>
          <w:b/>
          <w:color w:val="10243F"/>
          <w:sz w:val="18"/>
        </w:rPr>
        <w:t xml:space="preserve">   Deux fuites bloquées</w:t>
      </w:r>
      <w:r>
        <w:rPr>
          <w:rFonts w:ascii="Calibri" w:hAnsi="Calibri" w:eastAsia="Calibri"/>
          <w:i/>
          <w:color w:val="5B6577"/>
          <w:sz w:val="16"/>
        </w:rPr>
        <w:tab/>
        <w:t>jeton Confidentiel puis jeton Secret hors compartiment</w:t>
      </w:r>
    </w:p>
    <w:p>
      <w:pPr>
        <w:keepNext/>
        <w:spacing w:before="100" w:after="40"/>
        <w:jc w:val="center"/>
      </w:pPr>
      <w:r>
        <w:drawing>
          <wp:inline xmlns:a="http://schemas.openxmlformats.org/drawingml/2006/main" xmlns:pic="http://schemas.openxmlformats.org/drawingml/2006/picture">
            <wp:extent cx="5903999" cy="1992404"/>
            <wp:docPr id="7" name="Picture 7"/>
            <wp:cNvGraphicFramePr>
              <a:graphicFrameLocks noChangeAspect="1"/>
            </wp:cNvGraphicFramePr>
            <a:graphic>
              <a:graphicData uri="http://schemas.openxmlformats.org/drawingml/2006/picture">
                <pic:pic>
                  <pic:nvPicPr>
                    <pic:cNvPr id="0" name="03_fuites_bloquees.png"/>
                    <pic:cNvPicPr/>
                  </pic:nvPicPr>
                  <pic:blipFill>
                    <a:blip r:embed="rId19"/>
                    <a:stretch>
                      <a:fillRect/>
                    </a:stretch>
                  </pic:blipFill>
                  <pic:spPr>
                    <a:xfrm>
                      <a:off x="0" y="0"/>
                      <a:ext cx="5903999" cy="1992404"/>
                    </a:xfrm>
                    <a:prstGeom prst="rect"/>
                    <a:ln w="9525">
                      <a:solidFill>
                        <a:srgbClr val="C9CED6"/>
                      </a:solidFill>
                    </a:ln>
                  </pic:spPr>
                </pic:pic>
              </a:graphicData>
            </a:graphic>
          </wp:inline>
        </w:drawing>
      </w:r>
    </w:p>
    <w:p>
      <w:pPr>
        <w:pStyle w:val="Légende"/>
        <w:keepNext/>
      </w:pPr>
      <w:r>
        <w:rPr>
          <w:rFonts w:ascii="Calibri" w:hAnsi="Calibri" w:eastAsia="Calibri"/>
          <w:i/>
          <w:color w:val="5B6577"/>
          <w:sz w:val="18"/>
        </w:rPr>
        <w:t xml:space="preserve">Figure </w:t>
      </w:r>
      <w:r>
        <w:fldChar w:fldCharType="begin"/>
      </w:r>
      <w:r>
        <w:instrText xml:space="preserve"> SEQ Figure \* ARABIC </w:instrText>
      </w:r>
      <w:r>
        <w:fldChar w:fldCharType="separate"/>
      </w:r>
      <w:r>
        <w:rPr>
          <w:color w:val="5B6577"/>
          <w:sz w:val="18"/>
        </w:rPr>
        <w:t>6</w:t>
      </w:r>
      <w:r>
        <w:fldChar w:fldCharType="end"/>
      </w:r>
      <w:r>
        <w:rPr>
          <w:rFonts w:ascii="Calibri" w:hAnsi="Calibri" w:eastAsia="Calibri"/>
          <w:i/>
          <w:color w:val="5B6577"/>
          <w:sz w:val="18"/>
        </w:rPr>
        <w:t xml:space="preserve"> — Fuite refusée deux fois : canari absent, code générique et motif interne distinct dans le journal</w:t>
      </w:r>
    </w:p>
    <w:p>
      <w:pPr>
        <w:pStyle w:val="Source"/>
      </w:pPr>
      <w:r>
        <w:rPr>
          <w:rFonts w:ascii="Calibri" w:hAnsi="Calibri" w:eastAsia="Calibri"/>
          <w:i/>
          <w:color w:val="5B6577"/>
          <w:sz w:val="16"/>
        </w:rPr>
        <w:t xml:space="preserve">Capture d'écran du terminal ; scènes S2 et S3 ; </w:t>
      </w:r>
      <w:r>
        <w:rPr>
          <w:rFonts w:ascii="Consolas" w:hAnsi="Consolas" w:eastAsia="Consolas"/>
          <w:i/>
          <w:color w:val="5B6577"/>
          <w:sz w:val="15"/>
        </w:rPr>
        <w:t>HABILITATION_INSUFFISANTE</w:t>
      </w:r>
      <w:r>
        <w:rPr>
          <w:rFonts w:ascii="Calibri" w:hAnsi="Calibri" w:eastAsia="Calibri"/>
          <w:i/>
          <w:color w:val="5B6577"/>
          <w:sz w:val="16"/>
        </w:rPr>
        <w:t xml:space="preserve"> puis </w:t>
      </w:r>
      <w:r>
        <w:rPr>
          <w:rFonts w:ascii="Consolas" w:hAnsi="Consolas" w:eastAsia="Consolas"/>
          <w:i/>
          <w:color w:val="5B6577"/>
          <w:sz w:val="15"/>
        </w:rPr>
        <w:t>BESOIN_CONNAITRE_NON_SATISFAIT</w:t>
      </w:r>
      <w:r>
        <w:rPr>
          <w:rFonts w:ascii="Calibri" w:hAnsi="Calibri" w:eastAsia="Calibri"/>
          <w:i/>
          <w:color w:val="5B6577"/>
          <w:sz w:val="16"/>
        </w:rPr>
        <w:t>.</w:t>
      </w:r>
    </w:p>
    <w:p>
      <w:pPr>
        <w:keepNext/>
        <w:pBdr>
          <w:bottom w:val="single" w:sz="4" w:space="4" w:color="C9CED6"/>
        </w:pBdr>
        <w:tabs>
          <w:tab w:pos="9298" w:val="right"/>
        </w:tabs>
        <w:spacing w:before="200" w:after="60"/>
      </w:pPr>
      <w:r>
        <w:rPr>
          <w:rFonts w:ascii="Calibri" w:hAnsi="Calibri" w:eastAsia="Calibri"/>
          <w:b/>
          <w:color w:val="2F6DB3"/>
          <w:spacing w:val="30"/>
          <w:sz w:val="15"/>
        </w:rPr>
        <w:t>CAPTURE 4 / 7</w:t>
      </w:r>
      <w:r>
        <w:rPr>
          <w:rFonts w:ascii="Calibri" w:hAnsi="Calibri" w:eastAsia="Calibri"/>
          <w:b/>
          <w:color w:val="10243F"/>
          <w:sz w:val="18"/>
        </w:rPr>
        <w:t xml:space="preserve">   Accès légitime et injection neutralisée</w:t>
      </w:r>
      <w:r>
        <w:rPr>
          <w:rFonts w:ascii="Calibri" w:hAnsi="Calibri" w:eastAsia="Calibri"/>
          <w:i/>
          <w:color w:val="5B6577"/>
          <w:sz w:val="16"/>
        </w:rPr>
        <w:tab/>
        <w:t>scènes S4 et S5</w:t>
      </w:r>
    </w:p>
    <w:p>
      <w:pPr>
        <w:keepNext/>
        <w:spacing w:before="100" w:after="40"/>
        <w:jc w:val="center"/>
      </w:pPr>
      <w:r>
        <w:drawing>
          <wp:inline xmlns:a="http://schemas.openxmlformats.org/drawingml/2006/main" xmlns:pic="http://schemas.openxmlformats.org/drawingml/2006/picture">
            <wp:extent cx="5903999" cy="1976132"/>
            <wp:docPr id="8" name="Picture 8"/>
            <wp:cNvGraphicFramePr>
              <a:graphicFrameLocks noChangeAspect="1"/>
            </wp:cNvGraphicFramePr>
            <a:graphic>
              <a:graphicData uri="http://schemas.openxmlformats.org/drawingml/2006/picture">
                <pic:pic>
                  <pic:nvPicPr>
                    <pic:cNvPr id="0" name="04_acces_et_injection.png"/>
                    <pic:cNvPicPr/>
                  </pic:nvPicPr>
                  <pic:blipFill>
                    <a:blip r:embed="rId20"/>
                    <a:stretch>
                      <a:fillRect/>
                    </a:stretch>
                  </pic:blipFill>
                  <pic:spPr>
                    <a:xfrm>
                      <a:off x="0" y="0"/>
                      <a:ext cx="5903999" cy="1976132"/>
                    </a:xfrm>
                    <a:prstGeom prst="rect"/>
                    <a:ln w="9525">
                      <a:solidFill>
                        <a:srgbClr val="C9CED6"/>
                      </a:solidFill>
                    </a:ln>
                  </pic:spPr>
                </pic:pic>
              </a:graphicData>
            </a:graphic>
          </wp:inline>
        </w:drawing>
      </w:r>
    </w:p>
    <w:p>
      <w:pPr>
        <w:pStyle w:val="Légende"/>
        <w:keepNext/>
      </w:pPr>
      <w:r>
        <w:rPr>
          <w:rFonts w:ascii="Calibri" w:hAnsi="Calibri" w:eastAsia="Calibri"/>
          <w:i/>
          <w:color w:val="5B6577"/>
          <w:sz w:val="18"/>
        </w:rPr>
        <w:t xml:space="preserve">Figure </w:t>
      </w:r>
      <w:r>
        <w:fldChar w:fldCharType="begin"/>
      </w:r>
      <w:r>
        <w:instrText xml:space="preserve"> SEQ Figure \* ARABIC </w:instrText>
      </w:r>
      <w:r>
        <w:fldChar w:fldCharType="separate"/>
      </w:r>
      <w:r>
        <w:rPr>
          <w:color w:val="5B6577"/>
          <w:sz w:val="18"/>
        </w:rPr>
        <w:t>7</w:t>
      </w:r>
      <w:r>
        <w:fldChar w:fldCharType="end"/>
      </w:r>
      <w:r>
        <w:rPr>
          <w:rFonts w:ascii="Calibri" w:hAnsi="Calibri" w:eastAsia="Calibri"/>
          <w:i/>
          <w:color w:val="5B6577"/>
          <w:sz w:val="18"/>
        </w:rPr>
        <w:t xml:space="preserve"> — Même bulletin autorisé avec l'habilitation et le compartiment requis, puis instruction hostile neutralisée</w:t>
      </w:r>
    </w:p>
    <w:p>
      <w:pPr>
        <w:pStyle w:val="Source"/>
      </w:pPr>
      <w:r>
        <w:rPr>
          <w:rFonts w:ascii="Calibri" w:hAnsi="Calibri" w:eastAsia="Calibri"/>
          <w:i/>
          <w:color w:val="5B6577"/>
          <w:sz w:val="16"/>
        </w:rPr>
        <w:t>Capture d'écran du terminal ; accès Secret contrôlé et quatre fanions d'injection, instruction brute non livrée.</w:t>
      </w:r>
    </w:p>
    <w:p>
      <w:pPr>
        <w:keepNext/>
        <w:pBdr>
          <w:bottom w:val="single" w:sz="4" w:space="4" w:color="C9CED6"/>
        </w:pBdr>
        <w:tabs>
          <w:tab w:pos="9298" w:val="right"/>
        </w:tabs>
        <w:spacing w:before="200" w:after="60"/>
      </w:pPr>
      <w:r>
        <w:rPr>
          <w:rFonts w:ascii="Calibri" w:hAnsi="Calibri" w:eastAsia="Calibri"/>
          <w:b/>
          <w:color w:val="2F6DB3"/>
          <w:spacing w:val="30"/>
          <w:sz w:val="15"/>
        </w:rPr>
        <w:t>CAPTURE 5 / 7</w:t>
      </w:r>
      <w:r>
        <w:rPr>
          <w:rFonts w:ascii="Calibri" w:hAnsi="Calibri" w:eastAsia="Calibri"/>
          <w:b/>
          <w:color w:val="10243F"/>
          <w:sz w:val="18"/>
        </w:rPr>
        <w:t xml:space="preserve">   Journal d'audit et falsification</w:t>
      </w:r>
      <w:r>
        <w:rPr>
          <w:rFonts w:ascii="Calibri" w:hAnsi="Calibri" w:eastAsia="Calibri"/>
          <w:i/>
          <w:color w:val="5B6577"/>
          <w:sz w:val="16"/>
        </w:rPr>
        <w:tab/>
        <w:t>original valide, copie altérée détectée</w:t>
      </w:r>
    </w:p>
    <w:p>
      <w:pPr>
        <w:keepNext/>
        <w:spacing w:before="100" w:after="40"/>
        <w:jc w:val="center"/>
      </w:pPr>
      <w:r>
        <w:drawing>
          <wp:inline xmlns:a="http://schemas.openxmlformats.org/drawingml/2006/main" xmlns:pic="http://schemas.openxmlformats.org/drawingml/2006/picture">
            <wp:extent cx="5903999" cy="2272312"/>
            <wp:docPr id="9" name="Picture 9"/>
            <wp:cNvGraphicFramePr>
              <a:graphicFrameLocks noChangeAspect="1"/>
            </wp:cNvGraphicFramePr>
            <a:graphic>
              <a:graphicData uri="http://schemas.openxmlformats.org/drawingml/2006/picture">
                <pic:pic>
                  <pic:nvPicPr>
                    <pic:cNvPr id="0" name="05_audit_falsification.png"/>
                    <pic:cNvPicPr/>
                  </pic:nvPicPr>
                  <pic:blipFill>
                    <a:blip r:embed="rId21"/>
                    <a:stretch>
                      <a:fillRect/>
                    </a:stretch>
                  </pic:blipFill>
                  <pic:spPr>
                    <a:xfrm>
                      <a:off x="0" y="0"/>
                      <a:ext cx="5903999" cy="2272312"/>
                    </a:xfrm>
                    <a:prstGeom prst="rect"/>
                    <a:ln w="9525">
                      <a:solidFill>
                        <a:srgbClr val="C9CED6"/>
                      </a:solidFill>
                    </a:ln>
                  </pic:spPr>
                </pic:pic>
              </a:graphicData>
            </a:graphic>
          </wp:inline>
        </w:drawing>
      </w:r>
    </w:p>
    <w:p>
      <w:pPr>
        <w:pStyle w:val="Légende"/>
        <w:keepNext/>
      </w:pPr>
      <w:r>
        <w:rPr>
          <w:rFonts w:ascii="Calibri" w:hAnsi="Calibri" w:eastAsia="Calibri"/>
          <w:i/>
          <w:color w:val="5B6577"/>
          <w:sz w:val="18"/>
        </w:rPr>
        <w:t xml:space="preserve">Figure </w:t>
      </w:r>
      <w:r>
        <w:fldChar w:fldCharType="begin"/>
      </w:r>
      <w:r>
        <w:instrText xml:space="preserve"> SEQ Figure \* ARABIC </w:instrText>
      </w:r>
      <w:r>
        <w:fldChar w:fldCharType="separate"/>
      </w:r>
      <w:r>
        <w:rPr>
          <w:color w:val="5B6577"/>
          <w:sz w:val="18"/>
        </w:rPr>
        <w:t>8</w:t>
      </w:r>
      <w:r>
        <w:fldChar w:fldCharType="end"/>
      </w:r>
      <w:r>
        <w:rPr>
          <w:rFonts w:ascii="Calibri" w:hAnsi="Calibri" w:eastAsia="Calibri"/>
          <w:i/>
          <w:color w:val="5B6577"/>
          <w:sz w:val="18"/>
        </w:rPr>
        <w:t xml:space="preserve"> — Chaîne valide sur 116 entrées, puis rupture détectée à la séquence 31 sur la copie falsifiée</w:t>
      </w:r>
    </w:p>
    <w:p>
      <w:pPr>
        <w:pStyle w:val="Source"/>
      </w:pPr>
      <w:r>
        <w:rPr>
          <w:rFonts w:ascii="Calibri" w:hAnsi="Calibri" w:eastAsia="Calibri"/>
          <w:i/>
          <w:color w:val="5B6577"/>
          <w:sz w:val="16"/>
        </w:rPr>
        <w:t xml:space="preserve">Capture d'écran du terminal ; commande </w:t>
      </w:r>
      <w:r>
        <w:rPr>
          <w:rFonts w:ascii="Consolas" w:hAnsi="Consolas" w:eastAsia="Consolas"/>
          <w:i/>
          <w:color w:val="5B6577"/>
          <w:sz w:val="15"/>
        </w:rPr>
        <w:t>verify-audit</w:t>
      </w:r>
      <w:r>
        <w:rPr>
          <w:rFonts w:ascii="Calibri" w:hAnsi="Calibri" w:eastAsia="Calibri"/>
          <w:i/>
          <w:color w:val="5B6577"/>
          <w:sz w:val="16"/>
        </w:rPr>
        <w:t xml:space="preserve"> sur </w:t>
      </w:r>
      <w:r>
        <w:rPr>
          <w:rFonts w:ascii="Consolas" w:hAnsi="Consolas" w:eastAsia="Consolas"/>
          <w:i/>
          <w:color w:val="5B6577"/>
          <w:sz w:val="15"/>
        </w:rPr>
        <w:t>preuves/lab/audit.jsonl</w:t>
      </w:r>
      <w:r>
        <w:rPr>
          <w:rFonts w:ascii="Calibri" w:hAnsi="Calibri" w:eastAsia="Calibri"/>
          <w:i/>
          <w:color w:val="5B6577"/>
          <w:sz w:val="16"/>
        </w:rPr>
        <w:t xml:space="preserve"> puis sur la copie altérée.</w:t>
      </w:r>
    </w:p>
    <w:p>
      <w:pPr>
        <w:keepNext/>
        <w:pBdr>
          <w:bottom w:val="single" w:sz="4" w:space="4" w:color="C9CED6"/>
        </w:pBdr>
        <w:tabs>
          <w:tab w:pos="9298" w:val="right"/>
        </w:tabs>
        <w:spacing w:before="200" w:after="60"/>
      </w:pPr>
      <w:r>
        <w:rPr>
          <w:rFonts w:ascii="Calibri" w:hAnsi="Calibri" w:eastAsia="Calibri"/>
          <w:b/>
          <w:color w:val="2F6DB3"/>
          <w:spacing w:val="30"/>
          <w:sz w:val="15"/>
        </w:rPr>
        <w:t>CAPTURE 6 / 7</w:t>
      </w:r>
      <w:r>
        <w:rPr>
          <w:rFonts w:ascii="Calibri" w:hAnsi="Calibri" w:eastAsia="Calibri"/>
          <w:b/>
          <w:color w:val="10243F"/>
          <w:sz w:val="18"/>
        </w:rPr>
        <w:t xml:space="preserve">   Avant / après</w:t>
      </w:r>
      <w:r>
        <w:rPr>
          <w:rFonts w:ascii="Calibri" w:hAnsi="Calibri" w:eastAsia="Calibri"/>
          <w:i/>
          <w:color w:val="5B6577"/>
          <w:sz w:val="16"/>
        </w:rPr>
        <w:tab/>
        <w:t>mêmes bulletins, maquette naïve puis serveur durci</w:t>
      </w:r>
    </w:p>
    <w:p>
      <w:pPr>
        <w:keepNext/>
        <w:spacing w:before="100" w:after="40"/>
        <w:jc w:val="center"/>
      </w:pPr>
      <w:r>
        <w:drawing>
          <wp:inline xmlns:a="http://schemas.openxmlformats.org/drawingml/2006/main" xmlns:pic="http://schemas.openxmlformats.org/drawingml/2006/picture">
            <wp:extent cx="5903999" cy="1339951"/>
            <wp:docPr id="10" name="Picture 10"/>
            <wp:cNvGraphicFramePr>
              <a:graphicFrameLocks noChangeAspect="1"/>
            </wp:cNvGraphicFramePr>
            <a:graphic>
              <a:graphicData uri="http://schemas.openxmlformats.org/drawingml/2006/picture">
                <pic:pic>
                  <pic:nvPicPr>
                    <pic:cNvPr id="0" name="06_avant_apres.png"/>
                    <pic:cNvPicPr/>
                  </pic:nvPicPr>
                  <pic:blipFill>
                    <a:blip r:embed="rId22"/>
                    <a:stretch>
                      <a:fillRect/>
                    </a:stretch>
                  </pic:blipFill>
                  <pic:spPr>
                    <a:xfrm>
                      <a:off x="0" y="0"/>
                      <a:ext cx="5903999" cy="1339951"/>
                    </a:xfrm>
                    <a:prstGeom prst="rect"/>
                    <a:ln w="9525">
                      <a:solidFill>
                        <a:srgbClr val="C9CED6"/>
                      </a:solidFill>
                    </a:ln>
                  </pic:spPr>
                </pic:pic>
              </a:graphicData>
            </a:graphic>
          </wp:inline>
        </w:drawing>
      </w:r>
    </w:p>
    <w:p>
      <w:pPr>
        <w:pStyle w:val="Légende"/>
        <w:keepNext/>
      </w:pPr>
      <w:r>
        <w:rPr>
          <w:rFonts w:ascii="Calibri" w:hAnsi="Calibri" w:eastAsia="Calibri"/>
          <w:i/>
          <w:color w:val="5B6577"/>
          <w:sz w:val="18"/>
        </w:rPr>
        <w:t xml:space="preserve">Figure </w:t>
      </w:r>
      <w:r>
        <w:fldChar w:fldCharType="begin"/>
      </w:r>
      <w:r>
        <w:instrText xml:space="preserve"> SEQ Figure \* ARABIC </w:instrText>
      </w:r>
      <w:r>
        <w:fldChar w:fldCharType="separate"/>
      </w:r>
      <w:r>
        <w:rPr>
          <w:color w:val="5B6577"/>
          <w:sz w:val="18"/>
        </w:rPr>
        <w:t>9</w:t>
      </w:r>
      <w:r>
        <w:fldChar w:fldCharType="end"/>
      </w:r>
      <w:r>
        <w:rPr>
          <w:rFonts w:ascii="Calibri" w:hAnsi="Calibri" w:eastAsia="Calibri"/>
          <w:i/>
          <w:color w:val="5B6577"/>
          <w:sz w:val="18"/>
        </w:rPr>
        <w:t xml:space="preserve"> — Comparaison réelle : canari et source visibles sans contrôle, absents ou masqués avec le serveur durci</w:t>
      </w:r>
    </w:p>
    <w:p>
      <w:pPr>
        <w:pStyle w:val="Source"/>
      </w:pPr>
      <w:r>
        <w:rPr>
          <w:rFonts w:ascii="Calibri" w:hAnsi="Calibri" w:eastAsia="Calibri"/>
          <w:i/>
          <w:color w:val="5B6577"/>
          <w:sz w:val="16"/>
        </w:rPr>
        <w:t>Capture d'écran du terminal ; scène S7 ; huit faiblesses avant, zéro après.</w:t>
      </w:r>
    </w:p>
    <w:p>
      <w:pPr>
        <w:keepNext/>
        <w:pBdr>
          <w:bottom w:val="single" w:sz="4" w:space="4" w:color="C9CED6"/>
        </w:pBdr>
        <w:tabs>
          <w:tab w:pos="9298" w:val="right"/>
        </w:tabs>
        <w:spacing w:before="200" w:after="60"/>
      </w:pPr>
      <w:r>
        <w:rPr>
          <w:rFonts w:ascii="Calibri" w:hAnsi="Calibri" w:eastAsia="Calibri"/>
          <w:b/>
          <w:color w:val="2F6DB3"/>
          <w:spacing w:val="30"/>
          <w:sz w:val="15"/>
        </w:rPr>
        <w:t>CAPTURE 7 / 7</w:t>
      </w:r>
      <w:r>
        <w:rPr>
          <w:rFonts w:ascii="Calibri" w:hAnsi="Calibri" w:eastAsia="Calibri"/>
          <w:b/>
          <w:color w:val="10243F"/>
          <w:sz w:val="18"/>
        </w:rPr>
        <w:t xml:space="preserve">   Exécution sans privilège</w:t>
      </w:r>
      <w:r>
        <w:rPr>
          <w:rFonts w:ascii="Calibri" w:hAnsi="Calibri" w:eastAsia="Calibri"/>
          <w:i/>
          <w:color w:val="5B6577"/>
          <w:sz w:val="16"/>
        </w:rPr>
        <w:tab/>
        <w:t>uid 65534 · base 0440 · écriture refusée</w:t>
      </w:r>
    </w:p>
    <w:p>
      <w:pPr>
        <w:keepNext/>
        <w:spacing w:before="100" w:after="40"/>
        <w:jc w:val="center"/>
      </w:pPr>
      <w:r>
        <w:drawing>
          <wp:inline xmlns:a="http://schemas.openxmlformats.org/drawingml/2006/main" xmlns:pic="http://schemas.openxmlformats.org/drawingml/2006/picture">
            <wp:extent cx="5903999" cy="1212387"/>
            <wp:docPr id="11" name="Picture 11"/>
            <wp:cNvGraphicFramePr>
              <a:graphicFrameLocks noChangeAspect="1"/>
            </wp:cNvGraphicFramePr>
            <a:graphic>
              <a:graphicData uri="http://schemas.openxmlformats.org/drawingml/2006/picture">
                <pic:pic>
                  <pic:nvPicPr>
                    <pic:cNvPr id="0" name="07_moindre_privilege.png"/>
                    <pic:cNvPicPr/>
                  </pic:nvPicPr>
                  <pic:blipFill>
                    <a:blip r:embed="rId23"/>
                    <a:stretch>
                      <a:fillRect/>
                    </a:stretch>
                  </pic:blipFill>
                  <pic:spPr>
                    <a:xfrm>
                      <a:off x="0" y="0"/>
                      <a:ext cx="5903999" cy="1212387"/>
                    </a:xfrm>
                    <a:prstGeom prst="rect"/>
                    <a:ln w="9525">
                      <a:solidFill>
                        <a:srgbClr val="C9CED6"/>
                      </a:solidFill>
                    </a:ln>
                  </pic:spPr>
                </pic:pic>
              </a:graphicData>
            </a:graphic>
          </wp:inline>
        </w:drawing>
      </w:r>
    </w:p>
    <w:p>
      <w:pPr>
        <w:pStyle w:val="Légende"/>
        <w:keepNext/>
      </w:pPr>
      <w:r>
        <w:rPr>
          <w:rFonts w:ascii="Calibri" w:hAnsi="Calibri" w:eastAsia="Calibri"/>
          <w:i/>
          <w:color w:val="5B6577"/>
          <w:sz w:val="18"/>
        </w:rPr>
        <w:t xml:space="preserve">Figure </w:t>
      </w:r>
      <w:r>
        <w:fldChar w:fldCharType="begin"/>
      </w:r>
      <w:r>
        <w:instrText xml:space="preserve"> SEQ Figure \* ARABIC </w:instrText>
      </w:r>
      <w:r>
        <w:fldChar w:fldCharType="separate"/>
      </w:r>
      <w:r>
        <w:rPr>
          <w:color w:val="5B6577"/>
          <w:sz w:val="18"/>
        </w:rPr>
        <w:t>10</w:t>
      </w:r>
      <w:r>
        <w:fldChar w:fldCharType="end"/>
      </w:r>
      <w:r>
        <w:rPr>
          <w:rFonts w:ascii="Calibri" w:hAnsi="Calibri" w:eastAsia="Calibri"/>
          <w:i/>
          <w:color w:val="5B6577"/>
          <w:sz w:val="18"/>
        </w:rPr>
        <w:t xml:space="preserve"> — Moindre privilège réel : uid 65534, base en 0440, clé en 0400 et écriture de la base refusée</w:t>
      </w:r>
    </w:p>
    <w:p>
      <w:pPr>
        <w:pStyle w:val="Source"/>
      </w:pPr>
      <w:r>
        <w:rPr>
          <w:rFonts w:ascii="Calibri" w:hAnsi="Calibri" w:eastAsia="Calibri"/>
          <w:i/>
          <w:color w:val="5B6577"/>
          <w:sz w:val="16"/>
        </w:rPr>
        <w:t xml:space="preserve">Capture d'écran du terminal ; fichiers préparés comme dans le test N15, commande </w:t>
      </w:r>
      <w:r>
        <w:rPr>
          <w:rFonts w:ascii="Consolas" w:hAnsi="Consolas" w:eastAsia="Consolas"/>
          <w:i/>
          <w:color w:val="5B6577"/>
          <w:sz w:val="15"/>
        </w:rPr>
        <w:t>setpriv</w:t>
      </w:r>
      <w:r>
        <w:rPr>
          <w:rFonts w:ascii="Calibri" w:hAnsi="Calibri" w:eastAsia="Calibri"/>
          <w:i/>
          <w:color w:val="5B6577"/>
          <w:sz w:val="16"/>
        </w:rPr>
        <w:t>.</w:t>
      </w:r>
    </w:p>
    <w:p>
      <w:pPr>
        <w:pStyle w:val="Heading2"/>
      </w:pPr>
      <w:r>
        <w:rPr>
          <w:rFonts w:ascii="Calibri" w:hAnsi="Calibri" w:eastAsia="Calibri"/>
          <w:b/>
          <w:color w:val="2F6DB3"/>
          <w:sz w:val="28"/>
        </w:rPr>
        <w:t>6.5 Lecture des captures</w:t>
      </w:r>
    </w:p>
    <w:p>
      <w:pPr>
        <w:keepNext w:val="0"/>
      </w:pPr>
      <w:r>
        <w:rPr>
          <w:b w:val="0"/>
          <w:i w:val="0"/>
        </w:rPr>
        <w:t>Les sept écrans se lisent comme une chaîne de contrôle. Le premier établit l'environnement et les volumes. Le deuxième montre l'interface MCP et les six outils. Le troisième prouve que deux tentatives de fuite échouent sans canari. Le quatrième montre l'accès légitime et l'injection neutralisée sur le même serveur. Le cinquième vérifie l'intégrité du journal et la détection d'une copie falsifiée. Le sixième compare la maquette et le serveur durci sur les mêmes bulletins. Le septième vérifie le moindre privilège. Chaque écran correspond à un contrôle du chapitre 5 et à un scénario des sections 6.2 et 6.3.</w:t>
      </w:r>
    </w:p>
    <w:tbl>
      <w:tblPr>
        <w:tblW w:type="auto" w:w="0"/>
        <w:jc w:val="center"/>
        <w:tblLayout w:type="fixed"/>
        <w:tblLook w:firstColumn="1" w:firstRow="1" w:lastColumn="0" w:lastRow="0" w:noHBand="0" w:noVBand="1" w:val="04A0"/>
        <w:tblCellMar>
          <w:top w:w="90" w:type="dxa"/>
          <w:left w:w="140" w:type="dxa"/>
          <w:bottom w:w="90" w:type="dxa"/>
          <w:right w:w="140" w:type="dxa"/>
        </w:tblCellMar>
      </w:tblPr>
      <w:tblGrid>
        <w:gridCol w:w="9638"/>
      </w:tblGrid>
      <w:tr>
        <w:tc>
          <w:tcPr>
            <w:tcW w:type="dxa" w:w="9411"/>
            <w:shd w:val="clear" w:color="auto" w:fill="E7F2EC"/>
            <w:tcBorders>
              <w:top w:val="nil"/>
              <w:bottom w:val="nil"/>
              <w:right w:val="nil"/>
              <w:left w:val="single" w:sz="18" w:color="2C7A5B"/>
            </w:tcBorders>
          </w:tcPr>
          <w:p>
            <w:pPr>
              <w:spacing w:after="40"/>
            </w:pPr>
            <w:r>
              <w:rPr>
                <w:rFonts w:ascii="Calibri" w:hAnsi="Calibri" w:eastAsia="Calibri"/>
                <w:b/>
                <w:color w:val="10243F"/>
                <w:sz w:val="19"/>
              </w:rPr>
              <w:t>Traçabilité des captures</w:t>
            </w:r>
          </w:p>
          <w:p>
            <w:pPr>
              <w:spacing w:after="0"/>
            </w:pPr>
            <w:r>
              <w:rPr>
                <w:b w:val="0"/>
                <w:i w:val="0"/>
                <w:sz w:val="19"/>
              </w:rPr>
              <w:t xml:space="preserve">Chaque PNG est conservé dans </w:t>
            </w:r>
            <w:r>
              <w:rPr>
                <w:rFonts w:ascii="Consolas" w:hAnsi="Consolas" w:eastAsia="Consolas"/>
                <w:b w:val="0"/>
                <w:i w:val="0"/>
                <w:color w:val="1F2A3A"/>
                <w:sz w:val="18"/>
              </w:rPr>
              <w:t>preuves/captures_ecran/</w:t>
            </w:r>
            <w:r>
              <w:rPr>
                <w:b w:val="0"/>
                <w:i w:val="0"/>
                <w:sz w:val="19"/>
              </w:rPr>
              <w:t xml:space="preserve"> et copié dans </w:t>
            </w:r>
            <w:r>
              <w:rPr>
                <w:rFonts w:ascii="Consolas" w:hAnsi="Consolas" w:eastAsia="Consolas"/>
                <w:b w:val="0"/>
                <w:i w:val="0"/>
                <w:color w:val="1F2A3A"/>
                <w:sz w:val="18"/>
              </w:rPr>
              <w:t>projet/captures/</w:t>
            </w:r>
            <w:r>
              <w:rPr>
                <w:b w:val="0"/>
                <w:i w:val="0"/>
                <w:sz w:val="19"/>
              </w:rPr>
              <w:t xml:space="preserve">. Les commandes visibles à l'écran sont rejouables ; les sorties correspondent aux journaux </w:t>
            </w:r>
            <w:r>
              <w:rPr>
                <w:rFonts w:ascii="Consolas" w:hAnsi="Consolas" w:eastAsia="Consolas"/>
                <w:b w:val="0"/>
                <w:i w:val="0"/>
                <w:color w:val="1F2A3A"/>
                <w:sz w:val="18"/>
              </w:rPr>
              <w:t>preuves/logs/</w:t>
            </w:r>
            <w:r>
              <w:rPr>
                <w:b w:val="0"/>
                <w:i w:val="0"/>
                <w:sz w:val="19"/>
              </w:rPr>
              <w:t>.</w:t>
            </w:r>
          </w:p>
        </w:tc>
      </w:tr>
    </w:tbl>
    <w:p>
      <w:pPr>
        <w:pStyle w:val="Heading2"/>
      </w:pPr>
      <w:r>
        <w:rPr>
          <w:rFonts w:ascii="Calibri" w:hAnsi="Calibri" w:eastAsia="Calibri"/>
          <w:b/>
          <w:color w:val="2F6DB3"/>
          <w:sz w:val="28"/>
        </w:rPr>
        <w:t>6.6 Métriques et avant / après</w:t>
      </w:r>
    </w:p>
    <w:p>
      <w:pPr>
        <w:keepNext w:val="0"/>
      </w:pPr>
      <w:r>
        <w:rPr>
          <w:b w:val="0"/>
          <w:i w:val="0"/>
        </w:rPr>
        <w:t xml:space="preserve">Les métriques sont calculées par le harnais, pas saisies à la main. La latence est mesurée sur 60 appels consécutifs à </w:t>
      </w:r>
      <w:r>
        <w:rPr>
          <w:rFonts w:ascii="Consolas" w:hAnsi="Consolas" w:eastAsia="Consolas"/>
          <w:b w:val="0"/>
          <w:i w:val="0"/>
          <w:color w:val="1F2A3A"/>
        </w:rPr>
        <w:t>ti_health</w:t>
      </w:r>
      <w:r>
        <w:rPr>
          <w:b w:val="0"/>
          <w:i w:val="0"/>
        </w:rPr>
        <w:t xml:space="preserve"> et </w:t>
      </w:r>
      <w:r>
        <w:rPr>
          <w:rFonts w:ascii="Consolas" w:hAnsi="Consolas" w:eastAsia="Consolas"/>
          <w:b w:val="0"/>
          <w:i w:val="0"/>
          <w:color w:val="1F2A3A"/>
        </w:rPr>
        <w:t>ti_get_advisory</w:t>
      </w:r>
      <w:r>
        <w:rPr>
          <w:b w:val="0"/>
          <w:i w:val="0"/>
        </w:rPr>
        <w:t xml:space="preserve">, avec audit activé. La révocation est mesurée en deux temps : durée de la commande de révocation, puis latence de la requête suivante. La complétude d'audit compare le nombre d'appels attendus au nombre d'entrées d'action, en excluant l'erreur de protocole volontaire. Les valeurs du 27 octobre 2026 sont : </w:t>
      </w:r>
      <w:r>
        <w:rPr>
          <w:b/>
          <w:i w:val="0"/>
        </w:rPr>
        <w:t>31/31</w:t>
      </w:r>
      <w:r>
        <w:rPr>
          <w:b w:val="0"/>
          <w:i w:val="0"/>
        </w:rPr>
        <w:t xml:space="preserve"> scénarios, </w:t>
      </w:r>
      <w:r>
        <w:rPr>
          <w:b/>
          <w:i w:val="0"/>
        </w:rPr>
        <w:t>16/16</w:t>
      </w:r>
      <w:r>
        <w:rPr>
          <w:b w:val="0"/>
          <w:i w:val="0"/>
        </w:rPr>
        <w:t xml:space="preserve"> abus, p50 </w:t>
      </w:r>
      <w:r>
        <w:rPr>
          <w:b/>
          <w:i w:val="0"/>
        </w:rPr>
        <w:t>9,40 ms</w:t>
      </w:r>
      <w:r>
        <w:rPr>
          <w:b w:val="0"/>
          <w:i w:val="0"/>
        </w:rPr>
        <w:t xml:space="preserve">, p95 </w:t>
      </w:r>
      <w:r>
        <w:rPr>
          <w:b/>
          <w:i w:val="0"/>
        </w:rPr>
        <w:t>12,42 ms</w:t>
      </w:r>
      <w:r>
        <w:rPr>
          <w:b w:val="0"/>
          <w:i w:val="0"/>
        </w:rPr>
        <w:t xml:space="preserve"> (cible ≤ 50 ms), p99 </w:t>
      </w:r>
      <w:r>
        <w:rPr>
          <w:b/>
          <w:i w:val="0"/>
        </w:rPr>
        <w:t>13,99 ms</w:t>
      </w:r>
      <w:r>
        <w:rPr>
          <w:b w:val="0"/>
          <w:i w:val="0"/>
        </w:rPr>
        <w:t xml:space="preserve">, révocation </w:t>
      </w:r>
      <w:r>
        <w:rPr>
          <w:b/>
          <w:i w:val="0"/>
        </w:rPr>
        <w:t>121,31 ms</w:t>
      </w:r>
      <w:r>
        <w:rPr>
          <w:b w:val="0"/>
          <w:i w:val="0"/>
        </w:rPr>
        <w:t xml:space="preserve"> pour la commande puis </w:t>
      </w:r>
      <w:r>
        <w:rPr>
          <w:b/>
          <w:i w:val="0"/>
        </w:rPr>
        <w:t>10,0 ms</w:t>
      </w:r>
      <w:r>
        <w:rPr>
          <w:b w:val="0"/>
          <w:i w:val="0"/>
        </w:rPr>
        <w:t xml:space="preserve"> pour la requête suivante, audit </w:t>
      </w:r>
      <w:r>
        <w:rPr>
          <w:b/>
          <w:i w:val="0"/>
        </w:rPr>
        <w:t>115/115</w:t>
      </w:r>
      <w:r>
        <w:rPr>
          <w:b w:val="0"/>
          <w:i w:val="0"/>
        </w:rPr>
        <w:t xml:space="preserve"> (116 entrées dont une erreur de protocole) et injection </w:t>
      </w:r>
      <w:r>
        <w:rPr>
          <w:b/>
          <w:i w:val="0"/>
        </w:rPr>
        <w:t>3/3</w:t>
      </w:r>
      <w:r>
        <w:rPr>
          <w:b w:val="0"/>
          <w:i w:val="0"/>
        </w:rPr>
        <w:t xml:space="preserve"> avec </w:t>
      </w:r>
      <w:r>
        <w:rPr>
          <w:b/>
          <w:i w:val="0"/>
        </w:rPr>
        <w:t>0 faux positif</w:t>
      </w:r>
      <w:r>
        <w:rPr>
          <w:b w:val="0"/>
          <w:i w:val="0"/>
        </w:rPr>
        <w:t xml:space="preserve"> sur 11 bénins.</w:t>
      </w:r>
    </w:p>
    <w:p>
      <w:pPr>
        <w:keepNext/>
        <w:spacing w:before="100" w:after="40"/>
        <w:jc w:val="center"/>
      </w:pPr>
      <w:r>
        <w:drawing>
          <wp:inline xmlns:a="http://schemas.openxmlformats.org/drawingml/2006/main" xmlns:pic="http://schemas.openxmlformats.org/drawingml/2006/picture">
            <wp:extent cx="5903999" cy="2879798"/>
            <wp:docPr id="12" name="Picture 12"/>
            <wp:cNvGraphicFramePr>
              <a:graphicFrameLocks noChangeAspect="1"/>
            </wp:cNvGraphicFramePr>
            <a:graphic>
              <a:graphicData uri="http://schemas.openxmlformats.org/drawingml/2006/picture">
                <pic:pic>
                  <pic:nvPicPr>
                    <pic:cNvPr id="0" name="fig_metriques.png"/>
                    <pic:cNvPicPr/>
                  </pic:nvPicPr>
                  <pic:blipFill>
                    <a:blip r:embed="rId24"/>
                    <a:stretch>
                      <a:fillRect/>
                    </a:stretch>
                  </pic:blipFill>
                  <pic:spPr>
                    <a:xfrm>
                      <a:off x="0" y="0"/>
                      <a:ext cx="5903999" cy="2879798"/>
                    </a:xfrm>
                    <a:prstGeom prst="rect"/>
                    <a:ln w="9525">
                      <a:solidFill>
                        <a:srgbClr val="C9CED6"/>
                      </a:solidFill>
                    </a:ln>
                  </pic:spPr>
                </pic:pic>
              </a:graphicData>
            </a:graphic>
          </wp:inline>
        </w:drawing>
      </w:r>
    </w:p>
    <w:p>
      <w:pPr>
        <w:pStyle w:val="Légende"/>
        <w:keepNext/>
      </w:pPr>
      <w:r>
        <w:rPr>
          <w:rFonts w:ascii="Calibri" w:hAnsi="Calibri" w:eastAsia="Calibri"/>
          <w:i/>
          <w:color w:val="5B6577"/>
          <w:sz w:val="18"/>
        </w:rPr>
        <w:t xml:space="preserve">Figure </w:t>
      </w:r>
      <w:r>
        <w:fldChar w:fldCharType="begin"/>
      </w:r>
      <w:r>
        <w:instrText xml:space="preserve"> SEQ Figure \* ARABIC </w:instrText>
      </w:r>
      <w:r>
        <w:fldChar w:fldCharType="separate"/>
      </w:r>
      <w:r>
        <w:rPr>
          <w:color w:val="5B6577"/>
          <w:sz w:val="18"/>
        </w:rPr>
        <w:t>11</w:t>
      </w:r>
      <w:r>
        <w:fldChar w:fldCharType="end"/>
      </w:r>
      <w:r>
        <w:rPr>
          <w:rFonts w:ascii="Calibri" w:hAnsi="Calibri" w:eastAsia="Calibri"/>
          <w:i/>
          <w:color w:val="5B6577"/>
          <w:sz w:val="18"/>
        </w:rPr>
        <w:t xml:space="preserve"> — Tableau de bord des métriques de la campagne</w:t>
      </w:r>
    </w:p>
    <w:p>
      <w:pPr>
        <w:pStyle w:val="Source"/>
      </w:pPr>
      <w:r>
        <w:rPr>
          <w:rFonts w:ascii="Calibri" w:hAnsi="Calibri" w:eastAsia="Calibri"/>
          <w:i/>
          <w:color w:val="5B6577"/>
          <w:sz w:val="16"/>
        </w:rPr>
        <w:t xml:space="preserve">Source : </w:t>
      </w:r>
      <w:r>
        <w:rPr>
          <w:rFonts w:ascii="Consolas" w:hAnsi="Consolas" w:eastAsia="Consolas"/>
          <w:i/>
          <w:color w:val="5B6577"/>
          <w:sz w:val="15"/>
        </w:rPr>
        <w:t>preuves/logs/tests_latest.json</w:t>
      </w:r>
      <w:r>
        <w:rPr>
          <w:rFonts w:ascii="Calibri" w:hAnsi="Calibri" w:eastAsia="Calibri"/>
          <w:i/>
          <w:color w:val="5B6577"/>
          <w:sz w:val="16"/>
        </w:rPr>
        <w:t>, campagne du 27 octobre 2026 ; p95 sur n=60.</w:t>
      </w:r>
    </w:p>
    <w:p>
      <w:pPr>
        <w:keepNext w:val="0"/>
      </w:pPr>
      <w:r>
        <w:rPr>
          <w:b w:val="0"/>
          <w:i w:val="0"/>
        </w:rPr>
        <w:t>La comparaison avant / après est le résultat qui parle le plus directement au jury. La maquette témoin n'est pas un homme de paille : elle expose les mêmes données, avec les mêmes outils, mais sans contrôles. Elle échoue sur les huit contrôles comparés, et le serveur durci réussit les huit : canari, identité de source, injection, taille d'entrée, séparation des rôles, journal, révocation et limite de débit. Le différentiel porte sur des comportements observables : canari livré ou non, source masquée ou non, instruction exécutée ou neutralisée, trace présente ou absente. La capture 6 en donne la lecture à l'écran.</w:t>
      </w:r>
    </w:p>
    <w:p>
      <w:pPr>
        <w:pStyle w:val="Heading2"/>
      </w:pPr>
      <w:r>
        <w:rPr>
          <w:rFonts w:ascii="Calibri" w:hAnsi="Calibri" w:eastAsia="Calibri"/>
          <w:b/>
          <w:color w:val="2F6DB3"/>
          <w:sz w:val="28"/>
        </w:rPr>
        <w:t>6.7 Un échec réel, documenté et corrigé</w:t>
      </w:r>
    </w:p>
    <w:p>
      <w:pPr>
        <w:keepNext w:val="0"/>
      </w:pPr>
      <w:r>
        <w:rPr>
          <w:b w:val="0"/>
          <w:i w:val="0"/>
        </w:rPr>
        <w:t xml:space="preserve">La campagne n'a pas été verte du premier coup. Le premier essai a échoué sur la deuxième écriture du journal : le serveur s'arrêtait avec </w:t>
      </w:r>
      <w:r>
        <w:rPr>
          <w:rFonts w:ascii="Consolas" w:hAnsi="Consolas" w:eastAsia="Consolas"/>
          <w:b w:val="0"/>
          <w:i w:val="0"/>
          <w:color w:val="1F2A3A"/>
        </w:rPr>
        <w:t>AttributeError: 'str' object has no attribute 'decode'</w:t>
      </w:r>
      <w:r>
        <w:rPr>
          <w:b w:val="0"/>
          <w:i w:val="0"/>
        </w:rPr>
        <w:t xml:space="preserve">. La cause était simple et instructive : le fichier d'audit était ouvert en mode texte, puis décodé une seconde fois. Le premier appel passait, le deuxième échouait, ce qui donnait l'illusion d'un problème de données plutôt que de flux. Nous avons supprimé le décodage, relancé le scénario complet et conservé la trace de l'échec dans </w:t>
      </w:r>
      <w:r>
        <w:rPr>
          <w:rFonts w:ascii="Consolas" w:hAnsi="Consolas" w:eastAsia="Consolas"/>
          <w:b w:val="0"/>
          <w:i w:val="0"/>
          <w:color w:val="1F2A3A"/>
        </w:rPr>
        <w:t>preuves/logs/iteration_01_echec_audit.txt</w:t>
      </w:r>
      <w:r>
        <w:rPr>
          <w:b w:val="0"/>
          <w:i w:val="0"/>
        </w:rPr>
        <w:t>.</w:t>
      </w:r>
    </w:p>
    <w:p>
      <w:pPr>
        <w:pStyle w:val="Code"/>
        <w:pBdr>
          <w:left w:val="single" w:sz="12" w:space="4" w:color="2F6DB3"/>
        </w:pBdr>
        <w:shd w:val="clear" w:color="auto" w:fill="F4F6F9"/>
      </w:pPr>
      <w:r>
        <w:rPr>
          <w:rFonts w:ascii="Consolas" w:hAnsi="Consolas" w:eastAsia="Consolas"/>
          <w:color w:val="1F2A3A"/>
          <w:sz w:val="17"/>
        </w:rPr>
        <w:t>Itération 1 — échec réel observé le 2026-10-27 vers 14:08 (heure locale)</w:t>
      </w:r>
    </w:p>
    <w:p>
      <w:pPr>
        <w:pStyle w:val="Code"/>
        <w:pBdr>
          <w:left w:val="single" w:sz="12" w:space="4" w:color="2F6DB3"/>
        </w:pBdr>
        <w:shd w:val="clear" w:color="auto" w:fill="F4F6F9"/>
      </w:pPr>
      <w:r>
        <w:rPr>
          <w:rFonts w:ascii="Consolas" w:hAnsi="Consolas" w:eastAsia="Consolas"/>
          <w:color w:val="1F2A3A"/>
          <w:sz w:val="17"/>
        </w:rPr>
        <w:t>Scénario : recherche autorisée, puis lecture du bulletin ADV-2026-003.</w:t>
      </w:r>
    </w:p>
    <w:p>
      <w:pPr>
        <w:pStyle w:val="Code"/>
        <w:pBdr>
          <w:left w:val="single" w:sz="12" w:space="4" w:color="2F6DB3"/>
        </w:pBdr>
        <w:shd w:val="clear" w:color="auto" w:fill="F4F6F9"/>
      </w:pPr>
      <w:r>
        <w:rPr>
          <w:rFonts w:ascii="Consolas" w:hAnsi="Consolas" w:eastAsia="Consolas"/>
          <w:color w:val="1F2A3A"/>
          <w:sz w:val="17"/>
        </w:rPr>
        <w:t>Symptôme : le serveur s'arrête sur la deuxième écriture du journal.</w:t>
      </w:r>
    </w:p>
    <w:p>
      <w:pPr>
        <w:pStyle w:val="Code"/>
        <w:pBdr>
          <w:left w:val="single" w:sz="12" w:space="4" w:color="2F6DB3"/>
        </w:pBdr>
        <w:shd w:val="clear" w:color="auto" w:fill="F4F6F9"/>
      </w:pPr>
      <w:r>
        <w:rPr>
          <w:rFonts w:ascii="Consolas" w:hAnsi="Consolas" w:eastAsia="Consolas"/>
          <w:color w:val="1F2A3A"/>
          <w:sz w:val="17"/>
        </w:rPr>
        <w:t>Trace : audit.py, _last(), AttributeError: 'str' object has no attribute 'decode'</w:t>
      </w:r>
    </w:p>
    <w:p>
      <w:pPr>
        <w:pStyle w:val="Code"/>
        <w:pBdr>
          <w:left w:val="single" w:sz="12" w:space="4" w:color="2F6DB3"/>
        </w:pBdr>
        <w:shd w:val="clear" w:color="auto" w:fill="F4F6F9"/>
      </w:pPr>
      <w:r>
        <w:rPr>
          <w:rFonts w:ascii="Consolas" w:hAnsi="Consolas" w:eastAsia="Consolas"/>
          <w:color w:val="1F2A3A"/>
          <w:sz w:val="17"/>
        </w:rPr>
        <w:t>Cause : fichier d'audit ouvert en mode texte, puis décodage UTF-8 explicite.</w:t>
      </w:r>
    </w:p>
    <w:p>
      <w:pPr>
        <w:pStyle w:val="Code"/>
        <w:pBdr>
          <w:left w:val="single" w:sz="12" w:space="4" w:color="2F6DB3"/>
        </w:pBdr>
        <w:shd w:val="clear" w:color="auto" w:fill="F4F6F9"/>
      </w:pPr>
      <w:r>
        <w:rPr>
          <w:rFonts w:ascii="Consolas" w:hAnsi="Consolas" w:eastAsia="Consolas"/>
          <w:color w:val="1F2A3A"/>
          <w:sz w:val="17"/>
        </w:rPr>
        <w:t>Correction : supprimer le décodage, lire directement la chaîne texte ; relancer.</w:t>
      </w:r>
    </w:p>
    <w:p>
      <w:pPr>
        <w:pStyle w:val="Code"/>
        <w:pBdr>
          <w:left w:val="single" w:sz="12" w:space="4" w:color="2F6DB3"/>
        </w:pBdr>
        <w:shd w:val="clear" w:color="auto" w:fill="F4F6F9"/>
      </w:pPr>
      <w:r>
        <w:rPr>
          <w:rFonts w:ascii="Consolas" w:hAnsi="Consolas" w:eastAsia="Consolas"/>
          <w:color w:val="1F2A3A"/>
          <w:sz w:val="17"/>
        </w:rPr>
        <w:t>Statut : corrigé et rejoué (voir tests finaux). L'échec reste consigné, il n'est pas masqué.</w:t>
      </w:r>
    </w:p>
    <w:p>
      <w:pPr>
        <w:keepNext w:val="0"/>
      </w:pPr>
      <w:r>
        <w:rPr>
          <w:b w:val="0"/>
          <w:i w:val="0"/>
        </w:rPr>
        <w:t>Deux autres ajustements ont été nécessaires, mais ils relèvent de la précision des tests, pas du serveur. Le test de persistance N13 a d'abord été exécuté avant la révocation A04 ; il ne pouvait donc pas prouver la persistance. Nous avons ajouté un jeton dédié, révoqué entre deux processus serveur, et vérifié que le refus et la chaîne survivaient au redémarrage. Le test de conformité du journal, lui, comparait un détail humain à un code d'exigence ; nous avons ajouté un code interne à l'exception de refus et journalisé ce code, en gardant le détail lisible. Ces corrections sont visibles dans l'historique et ne changent pas le résultat final : 31/31.</w:t>
      </w:r>
    </w:p>
    <w:tbl>
      <w:tblPr>
        <w:tblW w:type="auto" w:w="0"/>
        <w:jc w:val="center"/>
        <w:tblLayout w:type="fixed"/>
        <w:tblLook w:firstColumn="1" w:firstRow="1" w:lastColumn="0" w:lastRow="0" w:noHBand="0" w:noVBand="1" w:val="04A0"/>
        <w:tblCellMar>
          <w:top w:w="90" w:type="dxa"/>
          <w:left w:w="140" w:type="dxa"/>
          <w:bottom w:w="90" w:type="dxa"/>
          <w:right w:w="140" w:type="dxa"/>
        </w:tblCellMar>
      </w:tblPr>
      <w:tblGrid>
        <w:gridCol w:w="9638"/>
      </w:tblGrid>
      <w:tr>
        <w:tc>
          <w:tcPr>
            <w:tcW w:type="dxa" w:w="9411"/>
            <w:shd w:val="clear" w:color="auto" w:fill="FBE9E7"/>
            <w:tcBorders>
              <w:top w:val="nil"/>
              <w:bottom w:val="nil"/>
              <w:right w:val="nil"/>
              <w:left w:val="single" w:sz="18" w:color="A83232"/>
            </w:tcBorders>
          </w:tcPr>
          <w:p>
            <w:pPr>
              <w:spacing w:after="40"/>
            </w:pPr>
            <w:r>
              <w:rPr>
                <w:rFonts w:ascii="Calibri" w:hAnsi="Calibri" w:eastAsia="Calibri"/>
                <w:b/>
                <w:color w:val="10243F"/>
                <w:sz w:val="19"/>
              </w:rPr>
              <w:t>Aucun test caché</w:t>
            </w:r>
          </w:p>
          <w:p>
            <w:pPr>
              <w:spacing w:after="0"/>
            </w:pPr>
            <w:r>
              <w:rPr>
                <w:b w:val="0"/>
                <w:i w:val="0"/>
                <w:sz w:val="19"/>
              </w:rPr>
              <w:t>À la fin de la campagne, aucun test ne reste en échec. Un échec intermédiaire est documenté et corrigé. Les limites qui ne peuvent pas être levées dans le laboratoire sont listées ci-dessous et dans la note de synthèse ; elles ne sont pas présentées comme des fonctionnalités.</w:t>
            </w:r>
          </w:p>
        </w:tc>
      </w:tr>
    </w:tbl>
    <w:p>
      <w:pPr>
        <w:pStyle w:val="Heading2"/>
      </w:pPr>
      <w:r>
        <w:rPr>
          <w:rFonts w:ascii="Calibri" w:hAnsi="Calibri" w:eastAsia="Calibri"/>
          <w:b/>
          <w:color w:val="2F6DB3"/>
          <w:sz w:val="28"/>
        </w:rPr>
        <w:t>6.8 Limites connues</w:t>
      </w:r>
    </w:p>
    <w:p>
      <w:pPr>
        <w:keepNext w:val="0"/>
      </w:pPr>
      <w:r>
        <w:rPr>
          <w:b w:val="0"/>
          <w:i w:val="0"/>
        </w:rPr>
        <w:t>Une démonstration honnête dit aussi ce qu'elle ne prouve pas. Les limites ci-dessous ne sont pas des défauts cachés : elles délimitent la portée des résultats. Certaines sont des choix de périmètre, d'autres des travaux d'intégration, une seule est une limite intrinsèque de la maquette locale.</w:t>
      </w:r>
    </w:p>
    <w:p>
      <w:pPr>
        <w:keepNext w:val="0"/>
      </w:pPr>
      <w:r>
        <w:rPr>
          <w:b w:val="0"/>
          <w:i w:val="0"/>
        </w:rPr>
        <w:t xml:space="preserve">Le périmètre laisse huit limites visibles. Les données sont synthétiques : les résultats ne valent pas pour un corpus réel, et leur levée demanderait un jeu annoté validé par des analystes. La détection d'injection reste heuristique — trois payloads connus et onze bénins — sans garantie générale ; il faudrait un corpus large, des tests adversariaux et un modèle de détection. La chaîne d'audit est locale : elle détecte une altération, pas une réécriture complète par un administrateur ; la levée passe par un ancrage externe, un horodatage qualifié ou un SIEM. L'isolation réseau n'est pas testée par espace de noms, l'absence de client HTTP étant vérifiée statiquement ; un test </w:t>
      </w:r>
      <w:r>
        <w:rPr>
          <w:rFonts w:ascii="Consolas" w:hAnsi="Consolas" w:eastAsia="Consolas"/>
          <w:b w:val="0"/>
          <w:i w:val="0"/>
          <w:color w:val="1F2A3A"/>
        </w:rPr>
        <w:t>unshare -n</w:t>
      </w:r>
      <w:r>
        <w:rPr>
          <w:b w:val="0"/>
          <w:i w:val="0"/>
        </w:rPr>
        <w:t>, un pare-feu et une politique réseau la préciseraient. Le jeton en variable d'environnement convient au laboratoire, pas à une fédération d'identité, qui exigerait OAuth 2.1, mTLS et un coffre de secrets. La posture est déclarative : le jeton affirme l'EDR et le chiffrement sans que le serveur les vérifie ; un agent EDR, une attestation signée et un contrôle continu combleraient l'écart. Le transport est stdio uniquement, donc la charge réseau n'est pas testée ; une mise en réseau demanderait HTTP/TLS, mTLS et un limiteur en amont. Enfin, la revue de code est interne, sans audit externe ni test d'intrusion.</w:t>
      </w:r>
    </w:p>
    <w:p>
      <w:pPr>
        <w:pStyle w:val="Heading1"/>
      </w:pPr>
      <w:r>
        <w:rPr>
          <w:rFonts w:ascii="Calibri" w:hAnsi="Calibri" w:eastAsia="Calibri"/>
          <w:b/>
          <w:color w:val="10243F"/>
          <w:sz w:val="34"/>
        </w:rPr>
        <w:t>7. Note de synthèse</w:t>
      </w:r>
    </w:p>
    <w:p>
      <w:pPr>
        <w:keepNext w:val="0"/>
      </w:pPr>
      <w:r>
        <w:rPr>
          <w:b w:val="0"/>
          <w:i w:val="0"/>
        </w:rPr>
        <w:t>Cette note répond à trois questions que le jury peut poser sans détour : qu'est-ce qui est réellement testé, qu'est-ce qui ne l'est pas, et quelles sont les limites connues ? Elle est volontairement séparée du reste du rapport pour être lue en deux minutes.</w:t>
      </w:r>
    </w:p>
    <w:p>
      <w:pPr>
        <w:pStyle w:val="Heading2"/>
      </w:pPr>
      <w:r>
        <w:rPr>
          <w:rFonts w:ascii="Calibri" w:hAnsi="Calibri" w:eastAsia="Calibri"/>
          <w:b/>
          <w:color w:val="2F6DB3"/>
          <w:sz w:val="28"/>
        </w:rPr>
        <w:t>7.1 Ce qui est testé</w:t>
      </w:r>
    </w:p>
    <w:p>
      <w:pPr>
        <w:keepNext w:val="0"/>
      </w:pPr>
      <w:r>
        <w:rPr>
          <w:b w:val="0"/>
          <w:i w:val="0"/>
        </w:rPr>
        <w:t xml:space="preserve">Le détail est donné aux sections 6.2 et 6.3. Les quinze tests nominaux et les seize tests d'abus réussissent ; la chaîne d'audit reste valide sur 116 entrées ; la révocation prend effet en 10 ms ; le limiteur autorise six appels par minute et refuse les deux suivants ; l'injection est neutralisée sur 3/3 payloads avec 0 faux positif sur 11 bénins ; le serveur tient sous </w:t>
      </w:r>
      <w:r>
        <w:rPr>
          <w:rFonts w:ascii="Consolas" w:hAnsi="Consolas" w:eastAsia="Consolas"/>
          <w:b w:val="0"/>
          <w:i w:val="0"/>
          <w:color w:val="1F2A3A"/>
        </w:rPr>
        <w:t>nobody</w:t>
      </w:r>
      <w:r>
        <w:rPr>
          <w:b w:val="0"/>
          <w:i w:val="0"/>
        </w:rPr>
        <w:t xml:space="preserve"> avec base en 0440 et clé en 0400. La performance mesurée est de 12,42 ms en p95 sur 60 requêtes, et le comparatif avant/après passe de huit faiblesses sur la maquette à zéro sur le serveur durci.</w:t>
      </w:r>
    </w:p>
    <w:p>
      <w:pPr>
        <w:pStyle w:val="Heading2"/>
      </w:pPr>
      <w:r>
        <w:rPr>
          <w:rFonts w:ascii="Calibri" w:hAnsi="Calibri" w:eastAsia="Calibri"/>
          <w:b/>
          <w:color w:val="2F6DB3"/>
          <w:sz w:val="28"/>
        </w:rPr>
        <w:t>7.2 Ce qui n'est pas testé</w:t>
      </w:r>
    </w:p>
    <w:p>
      <w:pPr>
        <w:keepNext w:val="0"/>
      </w:pPr>
      <w:r>
        <w:rPr>
          <w:b w:val="0"/>
          <w:i w:val="0"/>
        </w:rPr>
        <w:t xml:space="preserve">Huit éléments restent hors du champ testé, avec leur statut. L'isolation par espace de noms réseau est </w:t>
      </w:r>
      <w:r>
        <w:rPr>
          <w:b/>
          <w:i w:val="0"/>
        </w:rPr>
        <w:t>proposée</w:t>
      </w:r>
      <w:r>
        <w:rPr>
          <w:b w:val="0"/>
          <w:i w:val="0"/>
        </w:rPr>
        <w:t xml:space="preserve"> (non exécutée, remplacée par l'analyse statique). L'agent EDR réel et le chiffrement de disque sont </w:t>
      </w:r>
      <w:r>
        <w:rPr>
          <w:b/>
          <w:i w:val="0"/>
        </w:rPr>
        <w:t>configurés</w:t>
      </w:r>
      <w:r>
        <w:rPr>
          <w:b w:val="0"/>
          <w:i w:val="0"/>
        </w:rPr>
        <w:t xml:space="preserve"> (aucun agent raccordé, posture déclarative). Le transport HTTP/TLS/mTLS, OAuth 2.1 avec annuaire d'entreprise et l'ancrage externe du journal sont </w:t>
      </w:r>
      <w:r>
        <w:rPr>
          <w:b/>
          <w:i w:val="0"/>
        </w:rPr>
        <w:t>proposés</w:t>
      </w:r>
      <w:r>
        <w:rPr>
          <w:b w:val="0"/>
          <w:i w:val="0"/>
        </w:rPr>
        <w:t xml:space="preserve"> (hors périmètre stdio ou hors ligne). La charge réseau et la concurrence élevée ne sont </w:t>
      </w:r>
      <w:r>
        <w:rPr>
          <w:b/>
          <w:i w:val="0"/>
        </w:rPr>
        <w:t>pas testées</w:t>
      </w:r>
      <w:r>
        <w:rPr>
          <w:b w:val="0"/>
          <w:i w:val="0"/>
        </w:rPr>
        <w:t xml:space="preserve"> (service local, 60 requêtes mesurées). Le corpus d'injection reste une </w:t>
      </w:r>
      <w:r>
        <w:rPr>
          <w:b/>
          <w:i w:val="0"/>
        </w:rPr>
        <w:t>limite</w:t>
      </w:r>
      <w:r>
        <w:rPr>
          <w:b w:val="0"/>
          <w:i w:val="0"/>
        </w:rPr>
        <w:t xml:space="preserve"> (trois payloads, onze bénins), comme la revue cryptographique formelle (revue interne et analyse statique seulement). Aucun de ces éléments n'est présenté comme fonctionnel.</w:t>
      </w:r>
    </w:p>
    <w:p>
      <w:pPr>
        <w:pStyle w:val="Heading2"/>
      </w:pPr>
      <w:r>
        <w:rPr>
          <w:rFonts w:ascii="Calibri" w:hAnsi="Calibri" w:eastAsia="Calibri"/>
          <w:b/>
          <w:color w:val="2F6DB3"/>
          <w:sz w:val="28"/>
        </w:rPr>
        <w:t>7.3 Limites et travaux futurs</w:t>
      </w:r>
    </w:p>
    <w:p>
      <w:pPr>
        <w:keepNext w:val="0"/>
      </w:pPr>
      <w:r>
        <w:rPr>
          <w:b w:val="0"/>
          <w:i w:val="0"/>
        </w:rPr>
        <w:t>La maquette démontre la protection du secret dans un environnement local, synthétique et hors ligne. Elle ne démontre pas la résistance à un attaquant disposant des droits d'administration sur l'hôte, ni la tenue en charge d'un service réseau. Ces limites sont normales pour un prototype, mais elles doivent être dites. Trois travaux futurs auraient le plus d'impact : un ancrage externe du journal, un agent de posture réel et un transport HTTP avec mTLS et limitation de débit en amont.</w:t>
      </w:r>
    </w:p>
    <w:p>
      <w:pPr>
        <w:keepNext w:val="0"/>
      </w:pPr>
      <w:r>
        <w:rPr>
          <w:b w:val="0"/>
          <w:i w:val="0"/>
        </w:rPr>
        <w:t>Le premier travail futur est l'</w:t>
      </w:r>
      <w:r>
        <w:rPr>
          <w:b/>
          <w:i w:val="0"/>
        </w:rPr>
        <w:t>ancrage externe</w:t>
      </w:r>
      <w:r>
        <w:rPr>
          <w:b w:val="0"/>
          <w:i w:val="0"/>
        </w:rPr>
        <w:t>. Une chaîne locale détecte une altération, mais un administrateur peut réécrire l'ensemble. Un journal signé et horodaté par un service distant, ou un enregistrement dans un SIEM, rendrait la réécriture détectable. Le deuxième est l'</w:t>
      </w:r>
      <w:r>
        <w:rPr>
          <w:b/>
          <w:i w:val="0"/>
        </w:rPr>
        <w:t>attestation de posture</w:t>
      </w:r>
      <w:r>
        <w:rPr>
          <w:b w:val="0"/>
          <w:i w:val="0"/>
        </w:rPr>
        <w:t xml:space="preserve"> : le jeton affirme aujourd'hui que le poste a un EDR et un disque chiffré ; un agent signerait cette affirmation et le serveur la vérifierait. Le troisième est le </w:t>
      </w:r>
      <w:r>
        <w:rPr>
          <w:b/>
          <w:i w:val="0"/>
        </w:rPr>
        <w:t>transport réseau</w:t>
      </w:r>
      <w:r>
        <w:rPr>
          <w:b w:val="0"/>
          <w:i w:val="0"/>
        </w:rPr>
        <w:t xml:space="preserve"> : stdio est adapté au laboratoire, mais une mise en production exigerait TLS, mTLS, une politique de limitation et une journalisation d'accès.</w:t>
      </w:r>
    </w:p>
    <w:p>
      <w:pPr>
        <w:keepNext w:val="0"/>
      </w:pPr>
      <w:r>
        <w:rPr>
          <w:b w:val="0"/>
          <w:i w:val="0"/>
        </w:rPr>
        <w:t>Nous ajoutons un quatrième travail, plus modeste mais utile : élargir le corpus d'injection et le tester contre des formulations bénignes contenant des mots-clés suspects. La détection actuelle est heuristique ; elle a zéro faux positif sur onze bénins, ce qui n'est pas une garantie statistique. Un corpus de plusieurs centaines de bulletins, annoté par des analystes, donnerait une mesure de précision et de rappel.</w:t>
      </w:r>
    </w:p>
    <w:tbl>
      <w:tblPr>
        <w:tblW w:type="auto" w:w="0"/>
        <w:jc w:val="center"/>
        <w:tblLayout w:type="fixed"/>
        <w:tblLook w:firstColumn="1" w:firstRow="1" w:lastColumn="0" w:lastRow="0" w:noHBand="0" w:noVBand="1" w:val="04A0"/>
        <w:tblCellMar>
          <w:top w:w="90" w:type="dxa"/>
          <w:left w:w="140" w:type="dxa"/>
          <w:bottom w:w="90" w:type="dxa"/>
          <w:right w:w="140" w:type="dxa"/>
        </w:tblCellMar>
      </w:tblPr>
      <w:tblGrid>
        <w:gridCol w:w="9638"/>
      </w:tblGrid>
      <w:tr>
        <w:tc>
          <w:tcPr>
            <w:tcW w:type="dxa" w:w="9411"/>
            <w:shd w:val="clear" w:color="auto" w:fill="E7F2EC"/>
            <w:tcBorders>
              <w:top w:val="nil"/>
              <w:bottom w:val="nil"/>
              <w:right w:val="nil"/>
              <w:left w:val="single" w:sz="18" w:color="2C7A5B"/>
            </w:tcBorders>
          </w:tcPr>
          <w:p>
            <w:pPr>
              <w:spacing w:after="40"/>
            </w:pPr>
            <w:r>
              <w:rPr>
                <w:rFonts w:ascii="Calibri" w:hAnsi="Calibri" w:eastAsia="Calibri"/>
                <w:b/>
                <w:color w:val="10243F"/>
                <w:sz w:val="19"/>
              </w:rPr>
              <w:t>Conclusion de la note</w:t>
            </w:r>
          </w:p>
          <w:p>
            <w:pPr>
              <w:spacing w:after="0"/>
            </w:pPr>
            <w:r>
              <w:rPr>
                <w:b w:val="0"/>
                <w:i w:val="0"/>
                <w:sz w:val="19"/>
              </w:rPr>
              <w:t>Le projet est testé sur 31 scénarios, dont 16 abus, avec 100 % de maîtrise et zéro fuite observée. Les éléments non testés sont identifiés et marqués. La démonstration peut être rejouée en une commande, et les captures sont issues des sorties réelles.</w:t>
            </w:r>
          </w:p>
        </w:tc>
      </w:tr>
    </w:tbl>
    <w:p>
      <w:pPr>
        <w:pStyle w:val="Heading1"/>
        <w:pageBreakBefore/>
      </w:pPr>
      <w:r>
        <w:rPr>
          <w:rFonts w:ascii="Calibri" w:hAnsi="Calibri" w:eastAsia="Calibri"/>
          <w:b/>
          <w:color w:val="10243F"/>
          <w:sz w:val="34"/>
        </w:rPr>
        <w:t>Conclusion générale</w:t>
      </w:r>
    </w:p>
    <w:p>
      <w:pPr>
        <w:keepNext w:val="0"/>
      </w:pPr>
      <w:r>
        <w:rPr>
          <w:b w:val="0"/>
          <w:i w:val="0"/>
        </w:rPr>
        <w:t>Nous avons construit un serveur MCP de Threat Intelligence qui refuse de choisir entre utilité et protection du secret. Le serveur expose six outils en lecture seule, applique une politique ABAC, étiquette chaque réponse, masque les champs protégés, neutralise les instructions hostiles et journalise chaque décision dans une chaîne vérifiable. Il tourne sans privilège, sans réseau sortant et sans dépendance d'exécution. La campagne de 31 scénarios montre que les contrôles fonctionnent : 16 abus sur 16 maîtrisés, p95 à 12,42 ms, révocation appliquée en 10 ms, audit complet, zéro faiblesse sur les huit contrôles comparés à la maquette.</w:t>
      </w:r>
    </w:p>
    <w:p>
      <w:pPr>
        <w:keepNext w:val="0"/>
      </w:pPr>
      <w:r>
        <w:rPr>
          <w:b w:val="0"/>
          <w:i w:val="0"/>
        </w:rPr>
        <w:t>Sur le plan de la méthode, le projet nous a appris que la sécurité ne se démontre pas avec une liste de fonctionnalités. Elle se démontre avec des risques nommés, des exigences mesurables, des contrôles placés sur des frontières et des tests qui essaient de les contourner. La matrice risque → exigence → contrôle n'est pas un exercice de style : elle nous a servi à refuser des contrôles inutiles et à repérer des exigences sans preuve. L'échec du premier audit, conservé dans les preuves, a été plus instructif que trois succès.</w:t>
      </w:r>
    </w:p>
    <w:p>
      <w:pPr>
        <w:keepNext w:val="0"/>
      </w:pPr>
      <w:r>
        <w:rPr>
          <w:b w:val="0"/>
          <w:i w:val="0"/>
        </w:rPr>
        <w:t xml:space="preserve">Sur le plan du sujet, la protection du secret dans un montage MCP tient à trois propriétés indissociables. La première est </w:t>
      </w:r>
      <w:r>
        <w:rPr>
          <w:b/>
          <w:i w:val="0"/>
        </w:rPr>
        <w:t>l'habilitation</w:t>
      </w:r>
      <w:r>
        <w:rPr>
          <w:b w:val="0"/>
          <w:i w:val="0"/>
        </w:rPr>
        <w:t xml:space="preserve"> : le serveur sait qui demande, pour quelle finalité et avec quel niveau. La deuxième est </w:t>
      </w:r>
      <w:r>
        <w:rPr>
          <w:b/>
          <w:i w:val="0"/>
        </w:rPr>
        <w:t>l'étiquette</w:t>
      </w:r>
      <w:r>
        <w:rPr>
          <w:b w:val="0"/>
          <w:i w:val="0"/>
        </w:rPr>
        <w:t xml:space="preserve"> : la réponse porte sa classification et ses masques, et le contenu partenaire n'est jamais exécuté. La troisième est </w:t>
      </w:r>
      <w:r>
        <w:rPr>
          <w:b/>
          <w:i w:val="0"/>
        </w:rPr>
        <w:t>la trace</w:t>
      </w:r>
      <w:r>
        <w:rPr>
          <w:b w:val="0"/>
          <w:i w:val="0"/>
        </w:rPr>
        <w:t xml:space="preserve"> : chaque décision, y compris un refus, laisse une preuve chaînée. Retirer l'une de ces propriétés suffit à rendre les deux autres décoratives.</w:t>
      </w:r>
    </w:p>
    <w:p>
      <w:pPr>
        <w:keepNext w:val="0"/>
      </w:pPr>
      <w:r>
        <w:rPr>
          <w:b w:val="0"/>
          <w:i w:val="0"/>
        </w:rPr>
        <w:t>Le projet n'est pas un produit fini. C'est un artefact académique reproductible, avec des limites explicites et des travaux futurs identifiés. Nous préférons cette honnêteté à une démonstration qui masquerait les angles morts. La soutenance peut donc se concentrer sur ce qui compte : montrer un secret bloqué, une trace lue à l'écran, une injection neutralisée, et expliquer pourquoi le système se comporte ainsi.</w:t>
      </w:r>
    </w:p>
    <w:p>
      <w:pPr>
        <w:spacing w:before="160" w:after="80"/>
        <w:ind w:left="567" w:right="567"/>
        <w:jc w:val="left"/>
      </w:pPr>
      <w:r>
        <w:rPr>
          <w:rFonts w:ascii="Times New Roman" w:hAnsi="Times New Roman" w:eastAsia="Times New Roman"/>
          <w:i/>
          <w:color w:val="10243F"/>
          <w:sz w:val="23"/>
        </w:rPr>
        <w:t>« La confiance n'est pas une propriété du modèle ni du protocole : c'est une propriété du chemin que la donnée est obligée de suivre. »</w:t>
      </w:r>
    </w:p>
    <w:p>
      <w:pPr>
        <w:spacing w:after="200"/>
        <w:ind w:right="567"/>
        <w:jc w:val="right"/>
      </w:pPr>
      <w:r>
        <w:rPr>
          <w:rFonts w:ascii="Calibri" w:hAnsi="Calibri" w:eastAsia="Calibri"/>
          <w:color w:val="5B6577"/>
          <w:sz w:val="18"/>
        </w:rPr>
        <w:t>— Ce que nous retenons du projet</w:t>
      </w:r>
    </w:p>
    <w:p>
      <w:pPr>
        <w:pStyle w:val="Heading1"/>
        <w:pageBreakBefore/>
      </w:pPr>
      <w:r>
        <w:rPr>
          <w:rFonts w:ascii="Calibri" w:hAnsi="Calibri" w:eastAsia="Calibri"/>
          <w:b/>
          <w:color w:val="10243F"/>
          <w:sz w:val="34"/>
        </w:rPr>
        <w:t>Bibliographie et références</w:t>
      </w:r>
    </w:p>
    <w:p>
      <w:pPr>
        <w:spacing w:after="80"/>
        <w:ind w:left="624" w:hanging="624"/>
      </w:pPr>
      <w:r>
        <w:rPr>
          <w:rFonts w:ascii="Calibri" w:hAnsi="Calibri"/>
          <w:b/>
          <w:sz w:val="19"/>
        </w:rPr>
        <w:t xml:space="preserve">[1]  </w:t>
      </w:r>
      <w:r>
        <w:rPr>
          <w:rFonts w:ascii="Times New Roman" w:hAnsi="Times New Roman"/>
          <w:sz w:val="21"/>
        </w:rPr>
        <w:t>IBM Security. Cost of a Data Breach Report 2025. IBM, 2025. Coût moyen mondial d'une violation : 4,44 M$.</w:t>
      </w:r>
    </w:p>
    <w:p>
      <w:pPr>
        <w:spacing w:after="80"/>
        <w:ind w:left="624" w:hanging="624"/>
      </w:pPr>
      <w:r>
        <w:rPr>
          <w:rFonts w:ascii="Calibri" w:hAnsi="Calibri"/>
          <w:b/>
          <w:sz w:val="19"/>
        </w:rPr>
        <w:t xml:space="preserve">[2]  </w:t>
      </w:r>
      <w:r>
        <w:rPr>
          <w:rFonts w:ascii="Times New Roman" w:hAnsi="Times New Roman"/>
          <w:sz w:val="21"/>
        </w:rPr>
        <w:t>OWASP Foundation. OWASP Top 10 for LLM Applications 2025 — LLM01: Prompt Injection. 2025.</w:t>
      </w:r>
    </w:p>
    <w:p>
      <w:pPr>
        <w:spacing w:after="80"/>
        <w:ind w:left="624" w:hanging="624"/>
      </w:pPr>
      <w:r>
        <w:rPr>
          <w:rFonts w:ascii="Calibri" w:hAnsi="Calibri"/>
          <w:b/>
          <w:sz w:val="19"/>
        </w:rPr>
        <w:t xml:space="preserve">[3]  </w:t>
      </w:r>
      <w:r>
        <w:rPr>
          <w:rFonts w:ascii="Times New Roman" w:hAnsi="Times New Roman"/>
          <w:sz w:val="21"/>
        </w:rPr>
        <w:t>Model Context Protocol. Specification, version 2025-06-18. modelcontextprotocol.io, consulté en octobre 2026.</w:t>
      </w:r>
    </w:p>
    <w:p>
      <w:pPr>
        <w:spacing w:after="80"/>
        <w:ind w:left="624" w:hanging="624"/>
      </w:pPr>
      <w:r>
        <w:rPr>
          <w:rFonts w:ascii="Calibri" w:hAnsi="Calibri"/>
          <w:b/>
          <w:sz w:val="19"/>
        </w:rPr>
        <w:t xml:space="preserve">[4]  </w:t>
      </w:r>
      <w:r>
        <w:rPr>
          <w:rFonts w:ascii="Times New Roman" w:hAnsi="Times New Roman"/>
          <w:sz w:val="21"/>
        </w:rPr>
        <w:t>NIST. Special Publication 800-207 — Zero Trust Architecture. 2020.</w:t>
      </w:r>
    </w:p>
    <w:p>
      <w:pPr>
        <w:spacing w:after="80"/>
        <w:ind w:left="624" w:hanging="624"/>
      </w:pPr>
      <w:r>
        <w:rPr>
          <w:rFonts w:ascii="Calibri" w:hAnsi="Calibri"/>
          <w:b/>
          <w:sz w:val="19"/>
        </w:rPr>
        <w:t xml:space="preserve">[5]  </w:t>
      </w:r>
      <w:r>
        <w:rPr>
          <w:rFonts w:ascii="Times New Roman" w:hAnsi="Times New Roman"/>
          <w:sz w:val="21"/>
        </w:rPr>
        <w:t>NIST. Special Publication 800-162 — Guide to Attribute Based Access Control (ABAC). 2014.</w:t>
      </w:r>
    </w:p>
    <w:p>
      <w:pPr>
        <w:spacing w:after="80"/>
        <w:ind w:left="624" w:hanging="624"/>
      </w:pPr>
      <w:r>
        <w:rPr>
          <w:rFonts w:ascii="Calibri" w:hAnsi="Calibri"/>
          <w:b/>
          <w:sz w:val="19"/>
        </w:rPr>
        <w:t xml:space="preserve">[6]  </w:t>
      </w:r>
      <w:r>
        <w:rPr>
          <w:rFonts w:ascii="Times New Roman" w:hAnsi="Times New Roman"/>
          <w:sz w:val="21"/>
        </w:rPr>
        <w:t>FIRST. Exploit Prediction Scoring System (EPSS). first.org/epss, consulté en octobre 2026.</w:t>
      </w:r>
    </w:p>
    <w:p>
      <w:pPr>
        <w:spacing w:after="80"/>
        <w:ind w:left="624" w:hanging="624"/>
      </w:pPr>
      <w:r>
        <w:rPr>
          <w:rFonts w:ascii="Calibri" w:hAnsi="Calibri"/>
          <w:b/>
          <w:sz w:val="19"/>
        </w:rPr>
        <w:t xml:space="preserve">[7]  </w:t>
      </w:r>
      <w:r>
        <w:rPr>
          <w:rFonts w:ascii="Times New Roman" w:hAnsi="Times New Roman"/>
          <w:sz w:val="21"/>
        </w:rPr>
        <w:t>CISA. Known Exploited Vulnerabilities Catalog. cisa.gov/known-exploited-vulnerabilities-catalog.</w:t>
      </w:r>
    </w:p>
    <w:p>
      <w:pPr>
        <w:spacing w:after="80"/>
        <w:ind w:left="624" w:hanging="624"/>
      </w:pPr>
      <w:r>
        <w:rPr>
          <w:rFonts w:ascii="Calibri" w:hAnsi="Calibri"/>
          <w:b/>
          <w:sz w:val="19"/>
        </w:rPr>
        <w:t xml:space="preserve">[8]  </w:t>
      </w:r>
      <w:r>
        <w:rPr>
          <w:rFonts w:ascii="Times New Roman" w:hAnsi="Times New Roman"/>
          <w:sz w:val="21"/>
        </w:rPr>
        <w:t>FIRST. Common Vulnerability Scoring System v3.1: Specification Document. 2019.</w:t>
      </w:r>
    </w:p>
    <w:p>
      <w:pPr>
        <w:spacing w:after="80"/>
        <w:ind w:left="624" w:hanging="624"/>
      </w:pPr>
      <w:r>
        <w:rPr>
          <w:rFonts w:ascii="Calibri" w:hAnsi="Calibri"/>
          <w:b/>
          <w:sz w:val="19"/>
        </w:rPr>
        <w:t xml:space="preserve">[9]  </w:t>
      </w:r>
      <w:r>
        <w:rPr>
          <w:rFonts w:ascii="Times New Roman" w:hAnsi="Times New Roman"/>
          <w:sz w:val="21"/>
        </w:rPr>
        <w:t>ANSSI. Guide d'hygiène informatique. 2017.</w:t>
      </w:r>
    </w:p>
    <w:p>
      <w:pPr>
        <w:spacing w:after="80"/>
        <w:ind w:left="624" w:hanging="624"/>
      </w:pPr>
      <w:r>
        <w:rPr>
          <w:rFonts w:ascii="Calibri" w:hAnsi="Calibri"/>
          <w:b/>
          <w:sz w:val="19"/>
        </w:rPr>
        <w:t xml:space="preserve">[10]  </w:t>
      </w:r>
      <w:r>
        <w:rPr>
          <w:rFonts w:ascii="Times New Roman" w:hAnsi="Times New Roman"/>
          <w:sz w:val="21"/>
        </w:rPr>
        <w:t>Python Software Foundation. Python 3.14 Documentation. 2026.</w:t>
      </w:r>
    </w:p>
    <w:p>
      <w:pPr>
        <w:spacing w:after="80"/>
        <w:ind w:left="624" w:hanging="624"/>
      </w:pPr>
      <w:r>
        <w:rPr>
          <w:rFonts w:ascii="Calibri" w:hAnsi="Calibri"/>
          <w:b/>
          <w:sz w:val="19"/>
        </w:rPr>
        <w:t xml:space="preserve">[11]  </w:t>
      </w:r>
      <w:r>
        <w:rPr>
          <w:rFonts w:ascii="Times New Roman" w:hAnsi="Times New Roman"/>
          <w:sz w:val="21"/>
        </w:rPr>
        <w:t>SQLite Consortium. SQLite Documentation. 2026.</w:t>
      </w:r>
    </w:p>
    <w:p>
      <w:pPr>
        <w:spacing w:after="80"/>
        <w:ind w:left="624" w:hanging="624"/>
      </w:pPr>
      <w:r>
        <w:rPr>
          <w:rFonts w:ascii="Calibri" w:hAnsi="Calibri"/>
          <w:b/>
          <w:sz w:val="19"/>
        </w:rPr>
        <w:t xml:space="preserve">[12]  </w:t>
      </w:r>
      <w:r>
        <w:rPr>
          <w:rFonts w:ascii="Times New Roman" w:hAnsi="Times New Roman"/>
          <w:sz w:val="21"/>
        </w:rPr>
        <w:t>ISO/IEC. ISO/IEC 27001:2022 — Information security, cybersecurity and privacy protection. 2022.</w:t>
      </w:r>
    </w:p>
    <w:p>
      <w:pPr>
        <w:spacing w:after="80"/>
        <w:ind w:left="624" w:hanging="624"/>
      </w:pPr>
      <w:r>
        <w:rPr>
          <w:rFonts w:ascii="Calibri" w:hAnsi="Calibri"/>
          <w:b/>
          <w:sz w:val="19"/>
        </w:rPr>
        <w:t xml:space="preserve">[13]  </w:t>
      </w:r>
      <w:r>
        <w:rPr>
          <w:rFonts w:ascii="Times New Roman" w:hAnsi="Times New Roman"/>
          <w:sz w:val="21"/>
        </w:rPr>
        <w:t>Supports de cours TEK-UP SSIR. « Art de protection du secret » et « Cyber OPS ». 2026.</w:t>
      </w:r>
    </w:p>
    <w:p>
      <w:pPr>
        <w:keepNext w:val="0"/>
      </w:pPr>
      <w:r>
        <w:rPr>
          <w:b w:val="0"/>
          <w:i w:val="0"/>
          <w:sz w:val="19"/>
        </w:rPr>
        <w:t>Les faits techniques (versions, protocoles, algorithmes) ont été vérifiés sur le poste avant d'être écrits. Les chiffres de coût et les références de menaces sont cités avec leur source. Les scores de risque, les notes du comparatif et les hypothèses de posture sont des jugements argumentés, pas des mesures ; ils sont présentés comme tels.</w:t>
      </w:r>
    </w:p>
    <w:p>
      <w:pPr>
        <w:pStyle w:val="Heading1"/>
        <w:pageBreakBefore/>
        <w:pBdr>
          <w:bottom w:val="single" w:sz="12" w:space="4" w:color="B08A3E"/>
        </w:pBdr>
        <w:spacing w:before="1800" w:after="160"/>
      </w:pPr>
      <w:r>
        <w:rPr>
          <w:rFonts w:ascii="Calibri" w:hAnsi="Calibri" w:eastAsia="Calibri"/>
          <w:b/>
          <w:color w:val="10243F"/>
          <w:sz w:val="48"/>
        </w:rPr>
        <w:t>Annexes</w:t>
      </w:r>
    </w:p>
    <w:p>
      <w:pPr>
        <w:spacing w:before="160" w:after="480"/>
      </w:pPr>
      <w:r>
        <w:rPr>
          <w:rFonts w:ascii="Calibri" w:hAnsi="Calibri" w:eastAsia="Calibri"/>
          <w:i/>
          <w:color w:val="5B6577"/>
          <w:sz w:val="23"/>
        </w:rPr>
        <w:t>Catalogue des outils, codes d'audit, jeu de données, reproduction et glossaire.</w:t>
      </w:r>
    </w:p>
    <w:p>
      <w:pPr>
        <w:pStyle w:val="Heading1"/>
      </w:pPr>
      <w:r>
        <w:rPr>
          <w:rFonts w:ascii="Calibri" w:hAnsi="Calibri" w:eastAsia="Calibri"/>
          <w:b/>
          <w:color w:val="10243F"/>
          <w:sz w:val="34"/>
        </w:rPr>
        <w:t>Annexe A — Catalogue des outils MCP</w:t>
      </w:r>
    </w:p>
    <w:p>
      <w:pPr>
        <w:pStyle w:val="Légende"/>
        <w:keepNext/>
      </w:pPr>
      <w:r>
        <w:rPr>
          <w:rFonts w:ascii="Calibri" w:hAnsi="Calibri" w:eastAsia="Calibri"/>
          <w:i/>
          <w:color w:val="5B6577"/>
          <w:sz w:val="18"/>
        </w:rPr>
        <w:t xml:space="preserve">Tableau </w:t>
      </w:r>
      <w:r>
        <w:fldChar w:fldCharType="begin"/>
      </w:r>
      <w:r>
        <w:instrText xml:space="preserve"> SEQ Tableau \* ARABIC </w:instrText>
      </w:r>
      <w:r>
        <w:fldChar w:fldCharType="separate"/>
      </w:r>
      <w:r>
        <w:rPr>
          <w:color w:val="5B6577"/>
          <w:sz w:val="18"/>
        </w:rPr>
        <w:t>10</w:t>
      </w:r>
      <w:r>
        <w:fldChar w:fldCharType="end"/>
      </w:r>
      <w:r>
        <w:rPr>
          <w:rFonts w:ascii="Calibri" w:hAnsi="Calibri" w:eastAsia="Calibri"/>
          <w:i/>
          <w:color w:val="5B6577"/>
          <w:sz w:val="18"/>
        </w:rPr>
        <w:t xml:space="preserve"> — Six outils MCP en lecture seule</w:t>
      </w:r>
    </w:p>
    <w:tbl>
      <w:tblPr>
        <w:tblW w:type="auto" w:w="0"/>
        <w:jc w:val="center"/>
        <w:tblLayout w:type="fixed"/>
        <w:tblLook w:firstColumn="1" w:firstRow="1" w:lastColumn="0" w:lastRow="0" w:noHBand="0" w:noVBand="1" w:val="04A0"/>
        <w:tblCellMar>
          <w:top w:w="40" w:type="dxa"/>
          <w:left w:w="80" w:type="dxa"/>
          <w:bottom w:w="40" w:type="dxa"/>
          <w:right w:w="80" w:type="dxa"/>
        </w:tblCellMar>
      </w:tblPr>
      <w:tblGrid>
        <w:gridCol w:w="2409"/>
        <w:gridCol w:w="2409"/>
        <w:gridCol w:w="2409"/>
        <w:gridCol w:w="2409"/>
      </w:tblGrid>
      <w:tr>
        <w:trPr>
          <w:tblHeader w:val="true"/>
          <w:cantSplit w:val="true"/>
        </w:trPr>
        <w:tc>
          <w:tcPr>
            <w:tcW w:type="dxa" w:w="1928"/>
            <w:shd w:val="clear" w:color="auto" w:fill="10243F"/>
          </w:tcPr>
          <w:p>
            <w:pPr>
              <w:spacing w:after="0"/>
              <w:jc w:val="center"/>
            </w:pPr>
            <w:r>
              <w:rPr>
                <w:rFonts w:ascii="Calibri" w:hAnsi="Calibri" w:eastAsia="Calibri"/>
                <w:b/>
                <w:color w:val="FFFFFF"/>
                <w:sz w:val="16"/>
              </w:rPr>
              <w:t>Outil</w:t>
            </w:r>
          </w:p>
        </w:tc>
        <w:tc>
          <w:tcPr>
            <w:tcW w:type="dxa" w:w="3515"/>
            <w:shd w:val="clear" w:color="auto" w:fill="10243F"/>
          </w:tcPr>
          <w:p>
            <w:pPr>
              <w:spacing w:after="0"/>
              <w:jc w:val="center"/>
            </w:pPr>
            <w:r>
              <w:rPr>
                <w:rFonts w:ascii="Calibri" w:hAnsi="Calibri" w:eastAsia="Calibri"/>
                <w:b/>
                <w:color w:val="FFFFFF"/>
                <w:sz w:val="16"/>
              </w:rPr>
              <w:t>Rôle</w:t>
            </w:r>
          </w:p>
        </w:tc>
        <w:tc>
          <w:tcPr>
            <w:tcW w:type="dxa" w:w="2835"/>
            <w:shd w:val="clear" w:color="auto" w:fill="10243F"/>
          </w:tcPr>
          <w:p>
            <w:pPr>
              <w:spacing w:after="0"/>
              <w:jc w:val="center"/>
            </w:pPr>
            <w:r>
              <w:rPr>
                <w:rFonts w:ascii="Calibri" w:hAnsi="Calibri" w:eastAsia="Calibri"/>
                <w:b/>
                <w:color w:val="FFFFFF"/>
                <w:sz w:val="16"/>
              </w:rPr>
              <w:t>Entrées principales</w:t>
            </w:r>
          </w:p>
        </w:tc>
        <w:tc>
          <w:tcPr>
            <w:tcW w:type="dxa" w:w="1134"/>
            <w:shd w:val="clear" w:color="auto" w:fill="10243F"/>
          </w:tcPr>
          <w:p>
            <w:pPr>
              <w:spacing w:after="0"/>
              <w:jc w:val="center"/>
            </w:pPr>
            <w:r>
              <w:rPr>
                <w:rFonts w:ascii="Calibri" w:hAnsi="Calibri" w:eastAsia="Calibri"/>
                <w:b/>
                <w:color w:val="FFFFFF"/>
                <w:sz w:val="16"/>
              </w:rPr>
              <w:t>Lecture seule</w:t>
            </w:r>
          </w:p>
        </w:tc>
      </w:tr>
      <w:tr>
        <w:trPr>
          <w:cantSplit w:val="true"/>
        </w:trPr>
        <w:tc>
          <w:tcPr>
            <w:tcW w:type="dxa" w:w="1928"/>
          </w:tcPr>
          <w:p>
            <w:pPr>
              <w:spacing w:after="0" w:line="245" w:lineRule="auto"/>
              <w:jc w:val="left"/>
            </w:pPr>
            <w:r>
              <w:rPr>
                <w:rFonts w:ascii="Consolas" w:hAnsi="Consolas" w:eastAsia="Consolas"/>
                <w:b/>
                <w:i w:val="0"/>
                <w:color w:val="1F2A3A"/>
                <w:sz w:val="15"/>
              </w:rPr>
              <w:t>ti_search</w:t>
            </w:r>
          </w:p>
        </w:tc>
        <w:tc>
          <w:tcPr>
            <w:tcW w:type="dxa" w:w="3515"/>
          </w:tcPr>
          <w:p>
            <w:pPr>
              <w:spacing w:after="0" w:line="245" w:lineRule="auto"/>
              <w:jc w:val="left"/>
            </w:pPr>
            <w:r>
              <w:rPr>
                <w:b w:val="0"/>
                <w:i w:val="0"/>
                <w:sz w:val="16"/>
              </w:rPr>
              <w:t>Rechercher des bulletins accessibles.</w:t>
            </w:r>
          </w:p>
        </w:tc>
        <w:tc>
          <w:tcPr>
            <w:tcW w:type="dxa" w:w="2835"/>
          </w:tcPr>
          <w:p>
            <w:pPr>
              <w:spacing w:after="0" w:line="245" w:lineRule="auto"/>
              <w:jc w:val="left"/>
            </w:pPr>
            <w:r>
              <w:rPr>
                <w:rFonts w:ascii="Consolas" w:hAnsi="Consolas" w:eastAsia="Consolas"/>
                <w:b w:val="0"/>
                <w:i w:val="0"/>
                <w:color w:val="1F2A3A"/>
                <w:sz w:val="15"/>
              </w:rPr>
              <w:t>query</w:t>
            </w:r>
            <w:r>
              <w:rPr>
                <w:b w:val="0"/>
                <w:i w:val="0"/>
                <w:sz w:val="16"/>
              </w:rPr>
              <w:t xml:space="preserve"> (≤ 200 caractères).</w:t>
            </w:r>
          </w:p>
        </w:tc>
        <w:tc>
          <w:tcPr>
            <w:tcW w:type="dxa" w:w="1134"/>
          </w:tcPr>
          <w:p>
            <w:pPr>
              <w:spacing w:after="0" w:line="245" w:lineRule="auto"/>
              <w:jc w:val="center"/>
            </w:pPr>
            <w:r>
              <w:rPr>
                <w:b w:val="0"/>
                <w:i w:val="0"/>
                <w:sz w:val="16"/>
              </w:rPr>
              <w:t>oui</w:t>
            </w:r>
          </w:p>
        </w:tc>
      </w:tr>
      <w:tr>
        <w:trPr>
          <w:cantSplit w:val="true"/>
        </w:trPr>
        <w:tc>
          <w:tcPr>
            <w:tcW w:type="dxa" w:w="1928"/>
            <w:shd w:val="clear" w:color="auto" w:fill="F3F6FA"/>
          </w:tcPr>
          <w:p>
            <w:pPr>
              <w:spacing w:after="0" w:line="245" w:lineRule="auto"/>
              <w:jc w:val="left"/>
            </w:pPr>
            <w:r>
              <w:rPr>
                <w:rFonts w:ascii="Consolas" w:hAnsi="Consolas" w:eastAsia="Consolas"/>
                <w:b/>
                <w:i w:val="0"/>
                <w:color w:val="1F2A3A"/>
                <w:sz w:val="15"/>
              </w:rPr>
              <w:t>ti_get_advisory</w:t>
            </w:r>
          </w:p>
        </w:tc>
        <w:tc>
          <w:tcPr>
            <w:tcW w:type="dxa" w:w="3515"/>
            <w:shd w:val="clear" w:color="auto" w:fill="F3F6FA"/>
          </w:tcPr>
          <w:p>
            <w:pPr>
              <w:spacing w:after="0" w:line="245" w:lineRule="auto"/>
              <w:jc w:val="left"/>
            </w:pPr>
            <w:r>
              <w:rPr>
                <w:b w:val="0"/>
                <w:i w:val="0"/>
                <w:sz w:val="16"/>
              </w:rPr>
              <w:t>Lire un bulletin étiqueté.</w:t>
            </w:r>
          </w:p>
        </w:tc>
        <w:tc>
          <w:tcPr>
            <w:tcW w:type="dxa" w:w="2835"/>
            <w:shd w:val="clear" w:color="auto" w:fill="F3F6FA"/>
          </w:tcPr>
          <w:p>
            <w:pPr>
              <w:spacing w:after="0" w:line="245" w:lineRule="auto"/>
              <w:jc w:val="left"/>
            </w:pPr>
            <w:r>
              <w:rPr>
                <w:rFonts w:ascii="Consolas" w:hAnsi="Consolas" w:eastAsia="Consolas"/>
                <w:b w:val="0"/>
                <w:i w:val="0"/>
                <w:color w:val="1F2A3A"/>
                <w:sz w:val="15"/>
              </w:rPr>
              <w:t>advisory_id</w:t>
            </w:r>
            <w:r>
              <w:rPr>
                <w:b w:val="0"/>
                <w:i w:val="0"/>
                <w:sz w:val="16"/>
              </w:rPr>
              <w:t>.</w:t>
            </w:r>
          </w:p>
        </w:tc>
        <w:tc>
          <w:tcPr>
            <w:tcW w:type="dxa" w:w="1134"/>
            <w:shd w:val="clear" w:color="auto" w:fill="F3F6FA"/>
          </w:tcPr>
          <w:p>
            <w:pPr>
              <w:spacing w:after="0" w:line="245" w:lineRule="auto"/>
              <w:jc w:val="center"/>
            </w:pPr>
            <w:r>
              <w:rPr>
                <w:b w:val="0"/>
                <w:i w:val="0"/>
                <w:sz w:val="16"/>
              </w:rPr>
              <w:t>oui</w:t>
            </w:r>
          </w:p>
        </w:tc>
      </w:tr>
      <w:tr>
        <w:trPr>
          <w:cantSplit w:val="true"/>
        </w:trPr>
        <w:tc>
          <w:tcPr>
            <w:tcW w:type="dxa" w:w="1928"/>
          </w:tcPr>
          <w:p>
            <w:pPr>
              <w:spacing w:after="0" w:line="245" w:lineRule="auto"/>
              <w:jc w:val="left"/>
            </w:pPr>
            <w:r>
              <w:rPr>
                <w:rFonts w:ascii="Consolas" w:hAnsi="Consolas" w:eastAsia="Consolas"/>
                <w:b/>
                <w:i w:val="0"/>
                <w:color w:val="1F2A3A"/>
                <w:sz w:val="15"/>
              </w:rPr>
              <w:t>ti_enrich_ioc</w:t>
            </w:r>
          </w:p>
        </w:tc>
        <w:tc>
          <w:tcPr>
            <w:tcW w:type="dxa" w:w="3515"/>
          </w:tcPr>
          <w:p>
            <w:pPr>
              <w:spacing w:after="0" w:line="245" w:lineRule="auto"/>
              <w:jc w:val="left"/>
            </w:pPr>
            <w:r>
              <w:rPr>
                <w:b w:val="0"/>
                <w:i w:val="0"/>
                <w:sz w:val="16"/>
              </w:rPr>
              <w:t>Enrichir un indicateur, confiance datée.</w:t>
            </w:r>
          </w:p>
        </w:tc>
        <w:tc>
          <w:tcPr>
            <w:tcW w:type="dxa" w:w="2835"/>
          </w:tcPr>
          <w:p>
            <w:pPr>
              <w:spacing w:after="0" w:line="245" w:lineRule="auto"/>
              <w:jc w:val="left"/>
            </w:pPr>
            <w:r>
              <w:rPr>
                <w:rFonts w:ascii="Consolas" w:hAnsi="Consolas" w:eastAsia="Consolas"/>
                <w:b w:val="0"/>
                <w:i w:val="0"/>
                <w:color w:val="1F2A3A"/>
                <w:sz w:val="15"/>
              </w:rPr>
              <w:t>value</w:t>
            </w:r>
            <w:r>
              <w:rPr>
                <w:b w:val="0"/>
                <w:i w:val="0"/>
                <w:sz w:val="16"/>
              </w:rPr>
              <w:t xml:space="preserve">, </w:t>
            </w:r>
            <w:r>
              <w:rPr>
                <w:rFonts w:ascii="Consolas" w:hAnsi="Consolas" w:eastAsia="Consolas"/>
                <w:b w:val="0"/>
                <w:i w:val="0"/>
                <w:color w:val="1F2A3A"/>
                <w:sz w:val="15"/>
              </w:rPr>
              <w:t>type</w:t>
            </w:r>
            <w:r>
              <w:rPr>
                <w:b w:val="0"/>
                <w:i w:val="0"/>
                <w:sz w:val="16"/>
              </w:rPr>
              <w:t>.</w:t>
            </w:r>
          </w:p>
        </w:tc>
        <w:tc>
          <w:tcPr>
            <w:tcW w:type="dxa" w:w="1134"/>
          </w:tcPr>
          <w:p>
            <w:pPr>
              <w:spacing w:after="0" w:line="245" w:lineRule="auto"/>
              <w:jc w:val="center"/>
            </w:pPr>
            <w:r>
              <w:rPr>
                <w:b w:val="0"/>
                <w:i w:val="0"/>
                <w:sz w:val="16"/>
              </w:rPr>
              <w:t>oui</w:t>
            </w:r>
          </w:p>
        </w:tc>
      </w:tr>
      <w:tr>
        <w:trPr>
          <w:cantSplit w:val="true"/>
        </w:trPr>
        <w:tc>
          <w:tcPr>
            <w:tcW w:type="dxa" w:w="1928"/>
            <w:shd w:val="clear" w:color="auto" w:fill="F3F6FA"/>
          </w:tcPr>
          <w:p>
            <w:pPr>
              <w:spacing w:after="0" w:line="245" w:lineRule="auto"/>
              <w:jc w:val="left"/>
            </w:pPr>
            <w:r>
              <w:rPr>
                <w:rFonts w:ascii="Consolas" w:hAnsi="Consolas" w:eastAsia="Consolas"/>
                <w:b/>
                <w:i w:val="0"/>
                <w:color w:val="1F2A3A"/>
                <w:sz w:val="15"/>
              </w:rPr>
              <w:t>ti_correlate</w:t>
            </w:r>
          </w:p>
        </w:tc>
        <w:tc>
          <w:tcPr>
            <w:tcW w:type="dxa" w:w="3515"/>
            <w:shd w:val="clear" w:color="auto" w:fill="F3F6FA"/>
          </w:tcPr>
          <w:p>
            <w:pPr>
              <w:spacing w:after="0" w:line="245" w:lineRule="auto"/>
              <w:jc w:val="left"/>
            </w:pPr>
            <w:r>
              <w:rPr>
                <w:b w:val="0"/>
                <w:i w:val="0"/>
                <w:sz w:val="16"/>
              </w:rPr>
              <w:t>Corréler une famille de malware.</w:t>
            </w:r>
          </w:p>
        </w:tc>
        <w:tc>
          <w:tcPr>
            <w:tcW w:type="dxa" w:w="2835"/>
            <w:shd w:val="clear" w:color="auto" w:fill="F3F6FA"/>
          </w:tcPr>
          <w:p>
            <w:pPr>
              <w:spacing w:after="0" w:line="245" w:lineRule="auto"/>
              <w:jc w:val="left"/>
            </w:pPr>
            <w:r>
              <w:rPr>
                <w:rFonts w:ascii="Consolas" w:hAnsi="Consolas" w:eastAsia="Consolas"/>
                <w:b w:val="0"/>
                <w:i w:val="0"/>
                <w:color w:val="1F2A3A"/>
                <w:sz w:val="15"/>
              </w:rPr>
              <w:t>family</w:t>
            </w:r>
            <w:r>
              <w:rPr>
                <w:b w:val="0"/>
                <w:i w:val="0"/>
                <w:sz w:val="16"/>
              </w:rPr>
              <w:t>.</w:t>
            </w:r>
          </w:p>
        </w:tc>
        <w:tc>
          <w:tcPr>
            <w:tcW w:type="dxa" w:w="1134"/>
            <w:shd w:val="clear" w:color="auto" w:fill="F3F6FA"/>
          </w:tcPr>
          <w:p>
            <w:pPr>
              <w:spacing w:after="0" w:line="245" w:lineRule="auto"/>
              <w:jc w:val="center"/>
            </w:pPr>
            <w:r>
              <w:rPr>
                <w:b w:val="0"/>
                <w:i w:val="0"/>
                <w:sz w:val="16"/>
              </w:rPr>
              <w:t>oui</w:t>
            </w:r>
          </w:p>
        </w:tc>
      </w:tr>
      <w:tr>
        <w:trPr>
          <w:cantSplit w:val="true"/>
        </w:trPr>
        <w:tc>
          <w:tcPr>
            <w:tcW w:type="dxa" w:w="1928"/>
          </w:tcPr>
          <w:p>
            <w:pPr>
              <w:spacing w:after="0" w:line="245" w:lineRule="auto"/>
              <w:jc w:val="left"/>
            </w:pPr>
            <w:r>
              <w:rPr>
                <w:rFonts w:ascii="Consolas" w:hAnsi="Consolas" w:eastAsia="Consolas"/>
                <w:b/>
                <w:i w:val="0"/>
                <w:color w:val="1F2A3A"/>
                <w:sz w:val="15"/>
              </w:rPr>
              <w:t>ti_score_asset</w:t>
            </w:r>
          </w:p>
        </w:tc>
        <w:tc>
          <w:tcPr>
            <w:tcW w:type="dxa" w:w="3515"/>
          </w:tcPr>
          <w:p>
            <w:pPr>
              <w:spacing w:after="0" w:line="245" w:lineRule="auto"/>
              <w:jc w:val="left"/>
            </w:pPr>
            <w:r>
              <w:rPr>
                <w:b w:val="0"/>
                <w:i w:val="0"/>
                <w:sz w:val="16"/>
              </w:rPr>
              <w:t>Scorer un actif de façon explicable.</w:t>
            </w:r>
          </w:p>
        </w:tc>
        <w:tc>
          <w:tcPr>
            <w:tcW w:type="dxa" w:w="2835"/>
          </w:tcPr>
          <w:p>
            <w:pPr>
              <w:spacing w:after="0" w:line="245" w:lineRule="auto"/>
              <w:jc w:val="left"/>
            </w:pPr>
            <w:r>
              <w:rPr>
                <w:rFonts w:ascii="Consolas" w:hAnsi="Consolas" w:eastAsia="Consolas"/>
                <w:b w:val="0"/>
                <w:i w:val="0"/>
                <w:color w:val="1F2A3A"/>
                <w:sz w:val="15"/>
              </w:rPr>
              <w:t>asset_id</w:t>
            </w:r>
            <w:r>
              <w:rPr>
                <w:b w:val="0"/>
                <w:i w:val="0"/>
                <w:sz w:val="16"/>
              </w:rPr>
              <w:t>.</w:t>
            </w:r>
          </w:p>
        </w:tc>
        <w:tc>
          <w:tcPr>
            <w:tcW w:type="dxa" w:w="1134"/>
          </w:tcPr>
          <w:p>
            <w:pPr>
              <w:spacing w:after="0" w:line="245" w:lineRule="auto"/>
              <w:jc w:val="center"/>
            </w:pPr>
            <w:r>
              <w:rPr>
                <w:b w:val="0"/>
                <w:i w:val="0"/>
                <w:sz w:val="16"/>
              </w:rPr>
              <w:t>oui</w:t>
            </w:r>
          </w:p>
        </w:tc>
      </w:tr>
      <w:tr>
        <w:trPr>
          <w:cantSplit w:val="true"/>
        </w:trPr>
        <w:tc>
          <w:tcPr>
            <w:tcW w:type="dxa" w:w="1928"/>
            <w:shd w:val="clear" w:color="auto" w:fill="F3F6FA"/>
          </w:tcPr>
          <w:p>
            <w:pPr>
              <w:spacing w:after="0" w:line="245" w:lineRule="auto"/>
              <w:jc w:val="left"/>
            </w:pPr>
            <w:r>
              <w:rPr>
                <w:rFonts w:ascii="Consolas" w:hAnsi="Consolas" w:eastAsia="Consolas"/>
                <w:b/>
                <w:i w:val="0"/>
                <w:color w:val="1F2A3A"/>
                <w:sz w:val="15"/>
              </w:rPr>
              <w:t>ti_health</w:t>
            </w:r>
          </w:p>
        </w:tc>
        <w:tc>
          <w:tcPr>
            <w:tcW w:type="dxa" w:w="3515"/>
            <w:shd w:val="clear" w:color="auto" w:fill="F3F6FA"/>
          </w:tcPr>
          <w:p>
            <w:pPr>
              <w:spacing w:after="0" w:line="245" w:lineRule="auto"/>
              <w:jc w:val="left"/>
            </w:pPr>
            <w:r>
              <w:rPr>
                <w:b w:val="0"/>
                <w:i w:val="0"/>
                <w:sz w:val="16"/>
              </w:rPr>
              <w:t>État du service et durcissement.</w:t>
            </w:r>
          </w:p>
        </w:tc>
        <w:tc>
          <w:tcPr>
            <w:tcW w:type="dxa" w:w="2835"/>
            <w:shd w:val="clear" w:color="auto" w:fill="F3F6FA"/>
          </w:tcPr>
          <w:p>
            <w:pPr>
              <w:spacing w:after="0" w:line="245" w:lineRule="auto"/>
              <w:jc w:val="left"/>
            </w:pPr>
            <w:r>
              <w:rPr>
                <w:b w:val="0"/>
                <w:i w:val="0"/>
                <w:sz w:val="16"/>
              </w:rPr>
              <w:t>aucune.</w:t>
            </w:r>
          </w:p>
        </w:tc>
        <w:tc>
          <w:tcPr>
            <w:tcW w:type="dxa" w:w="1134"/>
            <w:shd w:val="clear" w:color="auto" w:fill="F3F6FA"/>
          </w:tcPr>
          <w:p>
            <w:pPr>
              <w:spacing w:after="0" w:line="245" w:lineRule="auto"/>
              <w:jc w:val="center"/>
            </w:pPr>
            <w:r>
              <w:rPr>
                <w:b w:val="0"/>
                <w:i w:val="0"/>
                <w:sz w:val="16"/>
              </w:rPr>
              <w:t>oui</w:t>
            </w:r>
          </w:p>
        </w:tc>
      </w:tr>
    </w:tbl>
    <w:p>
      <w:pPr>
        <w:pStyle w:val="Source"/>
      </w:pPr>
      <w:r>
        <w:rPr>
          <w:rFonts w:ascii="Calibri" w:hAnsi="Calibri" w:eastAsia="Calibri"/>
          <w:i/>
          <w:color w:val="5B6577"/>
          <w:sz w:val="16"/>
        </w:rPr>
        <w:t xml:space="preserve">Source : </w:t>
      </w:r>
      <w:r>
        <w:rPr>
          <w:rFonts w:ascii="Consolas" w:hAnsi="Consolas" w:eastAsia="Consolas"/>
          <w:i/>
          <w:color w:val="5B6577"/>
          <w:sz w:val="15"/>
        </w:rPr>
        <w:t>tools.py</w:t>
      </w:r>
      <w:r>
        <w:rPr>
          <w:rFonts w:ascii="Calibri" w:hAnsi="Calibri" w:eastAsia="Calibri"/>
          <w:i/>
          <w:color w:val="5B6577"/>
          <w:sz w:val="16"/>
        </w:rPr>
        <w:t xml:space="preserve">, </w:t>
      </w:r>
      <w:r>
        <w:rPr>
          <w:rFonts w:ascii="Consolas" w:hAnsi="Consolas" w:eastAsia="Consolas"/>
          <w:i/>
          <w:color w:val="5B6577"/>
          <w:sz w:val="15"/>
        </w:rPr>
        <w:t>TOOL_DEFS</w:t>
      </w:r>
      <w:r>
        <w:rPr>
          <w:rFonts w:ascii="Calibri" w:hAnsi="Calibri" w:eastAsia="Calibri"/>
          <w:i/>
          <w:color w:val="5B6577"/>
          <w:sz w:val="16"/>
        </w:rPr>
        <w:t xml:space="preserve"> ; les schémas refusent les propriétés supplémentaires.</w:t>
      </w:r>
    </w:p>
    <w:p>
      <w:pPr>
        <w:keepNext w:val="0"/>
      </w:pPr>
      <w:r>
        <w:rPr>
          <w:b w:val="0"/>
          <w:i w:val="0"/>
        </w:rPr>
        <w:t xml:space="preserve">Chaque outil déclare </w:t>
      </w:r>
      <w:r>
        <w:rPr>
          <w:rFonts w:ascii="Consolas" w:hAnsi="Consolas" w:eastAsia="Consolas"/>
          <w:b w:val="0"/>
          <w:i w:val="0"/>
          <w:color w:val="1F2A3A"/>
        </w:rPr>
        <w:t>readOnlyHint: true</w:t>
      </w:r>
      <w:r>
        <w:rPr>
          <w:b w:val="0"/>
          <w:i w:val="0"/>
        </w:rPr>
        <w:t xml:space="preserve"> et un schéma JSON strict avec </w:t>
      </w:r>
      <w:r>
        <w:rPr>
          <w:rFonts w:ascii="Consolas" w:hAnsi="Consolas" w:eastAsia="Consolas"/>
          <w:b w:val="0"/>
          <w:i w:val="0"/>
          <w:color w:val="1F2A3A"/>
        </w:rPr>
        <w:t>additionalProperties: false</w:t>
      </w:r>
      <w:r>
        <w:rPr>
          <w:b w:val="0"/>
          <w:i w:val="0"/>
        </w:rPr>
        <w:t>. Le serveur refuse un outil inconnu (</w:t>
      </w:r>
      <w:r>
        <w:rPr>
          <w:rFonts w:ascii="Consolas" w:hAnsi="Consolas" w:eastAsia="Consolas"/>
          <w:b w:val="0"/>
          <w:i w:val="0"/>
          <w:color w:val="1F2A3A"/>
        </w:rPr>
        <w:t>ACCES_REFUSE</w:t>
      </w:r>
      <w:r>
        <w:rPr>
          <w:b w:val="0"/>
          <w:i w:val="0"/>
        </w:rPr>
        <w:t>) et un paramètre interdit (</w:t>
      </w:r>
      <w:r>
        <w:rPr>
          <w:rFonts w:ascii="Consolas" w:hAnsi="Consolas" w:eastAsia="Consolas"/>
          <w:b w:val="0"/>
          <w:i w:val="0"/>
          <w:color w:val="1F2A3A"/>
        </w:rPr>
        <w:t>ENTREE_INVALIDE</w:t>
      </w:r>
      <w:r>
        <w:rPr>
          <w:b w:val="0"/>
          <w:i w:val="0"/>
        </w:rPr>
        <w:t xml:space="preserve">) sans interrompre le processus. Les ressources MCP sont filtrées par la même politique que les outils ; une lecture directe d'une ressource Secret renvoie une erreur générique </w:t>
      </w:r>
      <w:r>
        <w:rPr>
          <w:rFonts w:ascii="Consolas" w:hAnsi="Consolas" w:eastAsia="Consolas"/>
          <w:b w:val="0"/>
          <w:i w:val="0"/>
          <w:color w:val="1F2A3A"/>
        </w:rPr>
        <w:t>-32002</w:t>
      </w:r>
      <w:r>
        <w:rPr>
          <w:b w:val="0"/>
          <w:i w:val="0"/>
        </w:rPr>
        <w:t>.</w:t>
      </w:r>
    </w:p>
    <w:p>
      <w:pPr>
        <w:pStyle w:val="Heading1"/>
      </w:pPr>
      <w:r>
        <w:rPr>
          <w:rFonts w:ascii="Calibri" w:hAnsi="Calibri" w:eastAsia="Calibri"/>
          <w:b/>
          <w:color w:val="10243F"/>
          <w:sz w:val="34"/>
        </w:rPr>
        <w:t>Annexe B — Codes d'audit et motifs</w:t>
      </w:r>
    </w:p>
    <w:p>
      <w:pPr>
        <w:pStyle w:val="Légende"/>
        <w:keepNext/>
      </w:pPr>
      <w:r>
        <w:rPr>
          <w:rFonts w:ascii="Calibri" w:hAnsi="Calibri" w:eastAsia="Calibri"/>
          <w:i/>
          <w:color w:val="5B6577"/>
          <w:sz w:val="18"/>
        </w:rPr>
        <w:t xml:space="preserve">Tableau </w:t>
      </w:r>
      <w:r>
        <w:fldChar w:fldCharType="begin"/>
      </w:r>
      <w:r>
        <w:instrText xml:space="preserve"> SEQ Tableau \* ARABIC </w:instrText>
      </w:r>
      <w:r>
        <w:fldChar w:fldCharType="separate"/>
      </w:r>
      <w:r>
        <w:rPr>
          <w:color w:val="5B6577"/>
          <w:sz w:val="18"/>
        </w:rPr>
        <w:t>11</w:t>
      </w:r>
      <w:r>
        <w:fldChar w:fldCharType="end"/>
      </w:r>
      <w:r>
        <w:rPr>
          <w:rFonts w:ascii="Calibri" w:hAnsi="Calibri" w:eastAsia="Calibri"/>
          <w:i/>
          <w:color w:val="5B6577"/>
          <w:sz w:val="18"/>
        </w:rPr>
        <w:t xml:space="preserve"> — Codes d'audit et motifs de décision</w:t>
      </w:r>
    </w:p>
    <w:tbl>
      <w:tblPr>
        <w:tblW w:type="auto" w:w="0"/>
        <w:jc w:val="center"/>
        <w:tblLayout w:type="fixed"/>
        <w:tblLook w:firstColumn="1" w:firstRow="1" w:lastColumn="0" w:lastRow="0" w:noHBand="0" w:noVBand="1" w:val="04A0"/>
        <w:tblCellMar>
          <w:top w:w="40" w:type="dxa"/>
          <w:left w:w="80" w:type="dxa"/>
          <w:bottom w:w="40" w:type="dxa"/>
          <w:right w:w="80" w:type="dxa"/>
        </w:tblCellMar>
      </w:tblPr>
      <w:tblGrid>
        <w:gridCol w:w="3213"/>
        <w:gridCol w:w="3213"/>
        <w:gridCol w:w="3213"/>
      </w:tblGrid>
      <w:tr>
        <w:trPr>
          <w:tblHeader w:val="true"/>
          <w:cantSplit w:val="true"/>
        </w:trPr>
        <w:tc>
          <w:tcPr>
            <w:tcW w:type="dxa" w:w="4762"/>
            <w:shd w:val="clear" w:color="auto" w:fill="10243F"/>
          </w:tcPr>
          <w:p>
            <w:pPr>
              <w:spacing w:after="0"/>
              <w:jc w:val="center"/>
            </w:pPr>
            <w:r>
              <w:rPr>
                <w:rFonts w:ascii="Calibri" w:hAnsi="Calibri" w:eastAsia="Calibri"/>
                <w:b/>
                <w:color w:val="FFFFFF"/>
                <w:sz w:val="16"/>
              </w:rPr>
              <w:t>Code / motif</w:t>
            </w:r>
          </w:p>
        </w:tc>
        <w:tc>
          <w:tcPr>
            <w:tcW w:type="dxa" w:w="794"/>
            <w:shd w:val="clear" w:color="auto" w:fill="10243F"/>
          </w:tcPr>
          <w:p>
            <w:pPr>
              <w:spacing w:after="0"/>
              <w:jc w:val="center"/>
            </w:pPr>
            <w:r>
              <w:rPr>
                <w:rFonts w:ascii="Calibri" w:hAnsi="Calibri" w:eastAsia="Calibri"/>
                <w:b/>
                <w:color w:val="FFFFFF"/>
                <w:sz w:val="16"/>
              </w:rPr>
              <w:t>Décision</w:t>
            </w:r>
          </w:p>
        </w:tc>
        <w:tc>
          <w:tcPr>
            <w:tcW w:type="dxa" w:w="3742"/>
            <w:shd w:val="clear" w:color="auto" w:fill="10243F"/>
          </w:tcPr>
          <w:p>
            <w:pPr>
              <w:spacing w:after="0"/>
              <w:jc w:val="center"/>
            </w:pPr>
            <w:r>
              <w:rPr>
                <w:rFonts w:ascii="Calibri" w:hAnsi="Calibri" w:eastAsia="Calibri"/>
                <w:b/>
                <w:color w:val="FFFFFF"/>
                <w:sz w:val="16"/>
              </w:rPr>
              <w:t>Signification</w:t>
            </w:r>
          </w:p>
        </w:tc>
      </w:tr>
      <w:tr>
        <w:trPr>
          <w:cantSplit w:val="true"/>
        </w:trPr>
        <w:tc>
          <w:tcPr>
            <w:tcW w:type="dxa" w:w="4762"/>
          </w:tcPr>
          <w:p>
            <w:pPr>
              <w:spacing w:after="0" w:line="245" w:lineRule="auto"/>
              <w:jc w:val="left"/>
            </w:pPr>
            <w:r>
              <w:rPr>
                <w:rFonts w:ascii="Consolas" w:hAnsi="Consolas" w:eastAsia="Consolas"/>
                <w:b/>
                <w:i w:val="0"/>
                <w:color w:val="1F2A3A"/>
                <w:sz w:val="15"/>
              </w:rPr>
              <w:t>OK</w:t>
            </w:r>
          </w:p>
        </w:tc>
        <w:tc>
          <w:tcPr>
            <w:tcW w:type="dxa" w:w="794"/>
          </w:tcPr>
          <w:p>
            <w:pPr>
              <w:spacing w:after="0" w:line="245" w:lineRule="auto"/>
              <w:jc w:val="center"/>
            </w:pPr>
            <w:r>
              <w:rPr>
                <w:b w:val="0"/>
                <w:i w:val="0"/>
                <w:sz w:val="16"/>
              </w:rPr>
              <w:t>allow</w:t>
            </w:r>
          </w:p>
        </w:tc>
        <w:tc>
          <w:tcPr>
            <w:tcW w:type="dxa" w:w="3742"/>
          </w:tcPr>
          <w:p>
            <w:pPr>
              <w:spacing w:after="0" w:line="245" w:lineRule="auto"/>
              <w:jc w:val="left"/>
            </w:pPr>
            <w:r>
              <w:rPr>
                <w:b w:val="0"/>
                <w:i w:val="0"/>
                <w:sz w:val="16"/>
              </w:rPr>
              <w:t>Appel autorisé et réponse produite.</w:t>
            </w:r>
          </w:p>
        </w:tc>
      </w:tr>
      <w:tr>
        <w:trPr>
          <w:cantSplit w:val="true"/>
        </w:trPr>
        <w:tc>
          <w:tcPr>
            <w:tcW w:type="dxa" w:w="4762"/>
            <w:shd w:val="clear" w:color="auto" w:fill="F3F6FA"/>
          </w:tcPr>
          <w:p>
            <w:pPr>
              <w:spacing w:after="0" w:line="245" w:lineRule="auto"/>
              <w:jc w:val="left"/>
            </w:pPr>
            <w:r>
              <w:rPr>
                <w:rFonts w:ascii="Consolas" w:hAnsi="Consolas" w:eastAsia="Consolas"/>
                <w:b/>
                <w:i w:val="0"/>
                <w:color w:val="1F2A3A"/>
                <w:sz w:val="15"/>
              </w:rPr>
              <w:t>TOKEN_INVALIDE</w:t>
            </w:r>
            <w:r>
              <w:rPr>
                <w:b/>
                <w:i w:val="0"/>
                <w:sz w:val="16"/>
              </w:rPr>
              <w:t xml:space="preserve">, </w:t>
            </w:r>
            <w:r>
              <w:rPr>
                <w:rFonts w:ascii="Consolas" w:hAnsi="Consolas" w:eastAsia="Consolas"/>
                <w:b/>
                <w:i w:val="0"/>
                <w:color w:val="1F2A3A"/>
                <w:sz w:val="15"/>
              </w:rPr>
              <w:t>TOKEN_EXPIRE</w:t>
            </w:r>
            <w:r>
              <w:rPr>
                <w:b/>
                <w:i w:val="0"/>
                <w:sz w:val="16"/>
              </w:rPr>
              <w:t xml:space="preserve">, </w:t>
            </w:r>
            <w:r>
              <w:rPr>
                <w:rFonts w:ascii="Consolas" w:hAnsi="Consolas" w:eastAsia="Consolas"/>
                <w:b/>
                <w:i w:val="0"/>
                <w:color w:val="1F2A3A"/>
                <w:sz w:val="15"/>
              </w:rPr>
              <w:t>SIGNATURE_INVALIDE</w:t>
            </w:r>
            <w:r>
              <w:rPr>
                <w:b/>
                <w:i w:val="0"/>
                <w:sz w:val="16"/>
              </w:rPr>
              <w:t xml:space="preserve">, </w:t>
            </w:r>
            <w:r>
              <w:rPr>
                <w:rFonts w:ascii="Consolas" w:hAnsi="Consolas" w:eastAsia="Consolas"/>
                <w:b/>
                <w:i w:val="0"/>
                <w:color w:val="1F2A3A"/>
                <w:sz w:val="15"/>
              </w:rPr>
              <w:t>TOKEN_REVOQUE</w:t>
            </w:r>
          </w:p>
        </w:tc>
        <w:tc>
          <w:tcPr>
            <w:tcW w:type="dxa" w:w="794"/>
            <w:shd w:val="clear" w:color="auto" w:fill="F3F6FA"/>
          </w:tcPr>
          <w:p>
            <w:pPr>
              <w:spacing w:after="0" w:line="245" w:lineRule="auto"/>
              <w:jc w:val="center"/>
            </w:pPr>
            <w:r>
              <w:rPr>
                <w:b w:val="0"/>
                <w:i w:val="0"/>
                <w:sz w:val="16"/>
              </w:rPr>
              <w:t>deny</w:t>
            </w:r>
          </w:p>
        </w:tc>
        <w:tc>
          <w:tcPr>
            <w:tcW w:type="dxa" w:w="3742"/>
            <w:shd w:val="clear" w:color="auto" w:fill="F3F6FA"/>
          </w:tcPr>
          <w:p>
            <w:pPr>
              <w:spacing w:after="0" w:line="245" w:lineRule="auto"/>
              <w:jc w:val="left"/>
            </w:pPr>
            <w:r>
              <w:rPr>
                <w:b w:val="0"/>
                <w:i w:val="0"/>
                <w:sz w:val="16"/>
              </w:rPr>
              <w:t>Jeton absent, expiré, mal signé ou révoqué.</w:t>
            </w:r>
          </w:p>
        </w:tc>
      </w:tr>
      <w:tr>
        <w:trPr>
          <w:cantSplit w:val="true"/>
        </w:trPr>
        <w:tc>
          <w:tcPr>
            <w:tcW w:type="dxa" w:w="4762"/>
          </w:tcPr>
          <w:p>
            <w:pPr>
              <w:spacing w:after="0" w:line="245" w:lineRule="auto"/>
              <w:jc w:val="left"/>
            </w:pPr>
            <w:r>
              <w:rPr>
                <w:rFonts w:ascii="Consolas" w:hAnsi="Consolas" w:eastAsia="Consolas"/>
                <w:b/>
                <w:i w:val="0"/>
                <w:color w:val="1F2A3A"/>
                <w:sz w:val="15"/>
              </w:rPr>
              <w:t>POSTURE_NON_CONFORME</w:t>
            </w:r>
          </w:p>
        </w:tc>
        <w:tc>
          <w:tcPr>
            <w:tcW w:type="dxa" w:w="794"/>
          </w:tcPr>
          <w:p>
            <w:pPr>
              <w:spacing w:after="0" w:line="245" w:lineRule="auto"/>
              <w:jc w:val="center"/>
            </w:pPr>
            <w:r>
              <w:rPr>
                <w:b w:val="0"/>
                <w:i w:val="0"/>
                <w:sz w:val="16"/>
              </w:rPr>
              <w:t>deny</w:t>
            </w:r>
          </w:p>
        </w:tc>
        <w:tc>
          <w:tcPr>
            <w:tcW w:type="dxa" w:w="3742"/>
          </w:tcPr>
          <w:p>
            <w:pPr>
              <w:spacing w:after="0" w:line="245" w:lineRule="auto"/>
              <w:jc w:val="left"/>
            </w:pPr>
            <w:r>
              <w:rPr>
                <w:b w:val="0"/>
                <w:i w:val="0"/>
                <w:sz w:val="16"/>
              </w:rPr>
              <w:t>EDR, chiffrement, OS ou attestation absents ou trop anciens.</w:t>
            </w:r>
          </w:p>
        </w:tc>
      </w:tr>
      <w:tr>
        <w:trPr>
          <w:cantSplit w:val="true"/>
        </w:trPr>
        <w:tc>
          <w:tcPr>
            <w:tcW w:type="dxa" w:w="4762"/>
            <w:shd w:val="clear" w:color="auto" w:fill="F3F6FA"/>
          </w:tcPr>
          <w:p>
            <w:pPr>
              <w:spacing w:after="0" w:line="245" w:lineRule="auto"/>
              <w:jc w:val="left"/>
            </w:pPr>
            <w:r>
              <w:rPr>
                <w:rFonts w:ascii="Consolas" w:hAnsi="Consolas" w:eastAsia="Consolas"/>
                <w:b/>
                <w:i w:val="0"/>
                <w:color w:val="1F2A3A"/>
                <w:sz w:val="15"/>
              </w:rPr>
              <w:t>HABILITATION_INSUFFISANTE</w:t>
            </w:r>
            <w:r>
              <w:rPr>
                <w:b/>
                <w:i w:val="0"/>
                <w:sz w:val="16"/>
              </w:rPr>
              <w:t xml:space="preserve">, </w:t>
            </w:r>
            <w:r>
              <w:rPr>
                <w:rFonts w:ascii="Consolas" w:hAnsi="Consolas" w:eastAsia="Consolas"/>
                <w:b/>
                <w:i w:val="0"/>
                <w:color w:val="1F2A3A"/>
                <w:sz w:val="15"/>
              </w:rPr>
              <w:t>BESOIN_CONNAITRE_NON_SATISFAIT</w:t>
            </w:r>
          </w:p>
        </w:tc>
        <w:tc>
          <w:tcPr>
            <w:tcW w:type="dxa" w:w="794"/>
            <w:shd w:val="clear" w:color="auto" w:fill="F3F6FA"/>
          </w:tcPr>
          <w:p>
            <w:pPr>
              <w:spacing w:after="0" w:line="245" w:lineRule="auto"/>
              <w:jc w:val="center"/>
            </w:pPr>
            <w:r>
              <w:rPr>
                <w:b w:val="0"/>
                <w:i w:val="0"/>
                <w:sz w:val="16"/>
              </w:rPr>
              <w:t>deny</w:t>
            </w:r>
          </w:p>
        </w:tc>
        <w:tc>
          <w:tcPr>
            <w:tcW w:type="dxa" w:w="3742"/>
            <w:shd w:val="clear" w:color="auto" w:fill="F3F6FA"/>
          </w:tcPr>
          <w:p>
            <w:pPr>
              <w:spacing w:after="0" w:line="245" w:lineRule="auto"/>
              <w:jc w:val="left"/>
            </w:pPr>
            <w:r>
              <w:rPr>
                <w:b w:val="0"/>
                <w:i w:val="0"/>
                <w:sz w:val="16"/>
              </w:rPr>
              <w:t>Niveau inférieur à la classification, ou compartiment requis absent.</w:t>
            </w:r>
          </w:p>
        </w:tc>
      </w:tr>
      <w:tr>
        <w:trPr>
          <w:cantSplit w:val="true"/>
        </w:trPr>
        <w:tc>
          <w:tcPr>
            <w:tcW w:type="dxa" w:w="4762"/>
          </w:tcPr>
          <w:p>
            <w:pPr>
              <w:spacing w:after="0" w:line="245" w:lineRule="auto"/>
              <w:jc w:val="left"/>
            </w:pPr>
            <w:r>
              <w:rPr>
                <w:rFonts w:ascii="Consolas" w:hAnsi="Consolas" w:eastAsia="Consolas"/>
                <w:b/>
                <w:i w:val="0"/>
                <w:color w:val="1F2A3A"/>
                <w:sz w:val="15"/>
              </w:rPr>
              <w:t>OUTIL_NON_AUTORISE</w:t>
            </w:r>
          </w:p>
        </w:tc>
        <w:tc>
          <w:tcPr>
            <w:tcW w:type="dxa" w:w="794"/>
          </w:tcPr>
          <w:p>
            <w:pPr>
              <w:spacing w:after="0" w:line="245" w:lineRule="auto"/>
              <w:jc w:val="center"/>
            </w:pPr>
            <w:r>
              <w:rPr>
                <w:b w:val="0"/>
                <w:i w:val="0"/>
                <w:sz w:val="16"/>
              </w:rPr>
              <w:t>deny</w:t>
            </w:r>
          </w:p>
        </w:tc>
        <w:tc>
          <w:tcPr>
            <w:tcW w:type="dxa" w:w="3742"/>
          </w:tcPr>
          <w:p>
            <w:pPr>
              <w:spacing w:after="0" w:line="245" w:lineRule="auto"/>
              <w:jc w:val="left"/>
            </w:pPr>
            <w:r>
              <w:rPr>
                <w:b w:val="0"/>
                <w:i w:val="0"/>
                <w:sz w:val="16"/>
              </w:rPr>
              <w:t>Rôle ou finalité incompatible avec l'outil.</w:t>
            </w:r>
          </w:p>
        </w:tc>
      </w:tr>
      <w:tr>
        <w:trPr>
          <w:cantSplit w:val="true"/>
        </w:trPr>
        <w:tc>
          <w:tcPr>
            <w:tcW w:type="dxa" w:w="4762"/>
            <w:shd w:val="clear" w:color="auto" w:fill="F3F6FA"/>
          </w:tcPr>
          <w:p>
            <w:pPr>
              <w:spacing w:after="0" w:line="245" w:lineRule="auto"/>
              <w:jc w:val="left"/>
            </w:pPr>
            <w:r>
              <w:rPr>
                <w:rFonts w:ascii="Consolas" w:hAnsi="Consolas" w:eastAsia="Consolas"/>
                <w:b/>
                <w:i w:val="0"/>
                <w:color w:val="1F2A3A"/>
                <w:sz w:val="15"/>
              </w:rPr>
              <w:t>ENTREE_INVALIDE</w:t>
            </w:r>
            <w:r>
              <w:rPr>
                <w:b/>
                <w:i w:val="0"/>
                <w:sz w:val="16"/>
              </w:rPr>
              <w:t xml:space="preserve">, </w:t>
            </w:r>
            <w:r>
              <w:rPr>
                <w:rFonts w:ascii="Consolas" w:hAnsi="Consolas" w:eastAsia="Consolas"/>
                <w:b/>
                <w:i w:val="0"/>
                <w:color w:val="1F2A3A"/>
                <w:sz w:val="15"/>
              </w:rPr>
              <w:t>LIMITE_DEBIT</w:t>
            </w:r>
          </w:p>
        </w:tc>
        <w:tc>
          <w:tcPr>
            <w:tcW w:type="dxa" w:w="794"/>
            <w:shd w:val="clear" w:color="auto" w:fill="F3F6FA"/>
          </w:tcPr>
          <w:p>
            <w:pPr>
              <w:spacing w:after="0" w:line="245" w:lineRule="auto"/>
              <w:jc w:val="center"/>
            </w:pPr>
            <w:r>
              <w:rPr>
                <w:b w:val="0"/>
                <w:i w:val="0"/>
                <w:sz w:val="16"/>
              </w:rPr>
              <w:t>deny</w:t>
            </w:r>
          </w:p>
        </w:tc>
        <w:tc>
          <w:tcPr>
            <w:tcW w:type="dxa" w:w="3742"/>
            <w:shd w:val="clear" w:color="auto" w:fill="F3F6FA"/>
          </w:tcPr>
          <w:p>
            <w:pPr>
              <w:spacing w:after="0" w:line="245" w:lineRule="auto"/>
              <w:jc w:val="left"/>
            </w:pPr>
            <w:r>
              <w:rPr>
                <w:b w:val="0"/>
                <w:i w:val="0"/>
                <w:sz w:val="16"/>
              </w:rPr>
              <w:t>Schéma, type ou taille invalide ; fenêtre de débit dépassée.</w:t>
            </w:r>
          </w:p>
        </w:tc>
      </w:tr>
      <w:tr>
        <w:trPr>
          <w:cantSplit w:val="true"/>
        </w:trPr>
        <w:tc>
          <w:tcPr>
            <w:tcW w:type="dxa" w:w="4762"/>
          </w:tcPr>
          <w:p>
            <w:pPr>
              <w:spacing w:after="0" w:line="245" w:lineRule="auto"/>
              <w:jc w:val="left"/>
            </w:pPr>
            <w:r>
              <w:rPr>
                <w:rFonts w:ascii="Consolas" w:hAnsi="Consolas" w:eastAsia="Consolas"/>
                <w:b/>
                <w:i w:val="0"/>
                <w:color w:val="1F2A3A"/>
                <w:sz w:val="15"/>
              </w:rPr>
              <w:t>RESSOURCE_INDISPONIBLE</w:t>
            </w:r>
          </w:p>
        </w:tc>
        <w:tc>
          <w:tcPr>
            <w:tcW w:type="dxa" w:w="794"/>
          </w:tcPr>
          <w:p>
            <w:pPr>
              <w:spacing w:after="0" w:line="245" w:lineRule="auto"/>
              <w:jc w:val="center"/>
            </w:pPr>
            <w:r>
              <w:rPr>
                <w:b w:val="0"/>
                <w:i w:val="0"/>
                <w:sz w:val="16"/>
              </w:rPr>
              <w:t>deny</w:t>
            </w:r>
          </w:p>
        </w:tc>
        <w:tc>
          <w:tcPr>
            <w:tcW w:type="dxa" w:w="3742"/>
          </w:tcPr>
          <w:p>
            <w:pPr>
              <w:spacing w:after="0" w:line="245" w:lineRule="auto"/>
              <w:jc w:val="left"/>
            </w:pPr>
            <w:r>
              <w:rPr>
                <w:b w:val="0"/>
                <w:i w:val="0"/>
                <w:sz w:val="16"/>
              </w:rPr>
              <w:t>Ressource inaccessible ou inexistante (message identique).</w:t>
            </w:r>
          </w:p>
        </w:tc>
      </w:tr>
      <w:tr>
        <w:trPr>
          <w:cantSplit w:val="true"/>
        </w:trPr>
        <w:tc>
          <w:tcPr>
            <w:tcW w:type="dxa" w:w="4762"/>
            <w:shd w:val="clear" w:color="auto" w:fill="F3F6FA"/>
          </w:tcPr>
          <w:p>
            <w:pPr>
              <w:spacing w:after="0" w:line="245" w:lineRule="auto"/>
              <w:jc w:val="left"/>
            </w:pPr>
            <w:r>
              <w:rPr>
                <w:rFonts w:ascii="Consolas" w:hAnsi="Consolas" w:eastAsia="Consolas"/>
                <w:b/>
                <w:i w:val="0"/>
                <w:color w:val="1F2A3A"/>
                <w:sz w:val="15"/>
              </w:rPr>
              <w:t>METHODE_INCONNUE</w:t>
            </w:r>
          </w:p>
        </w:tc>
        <w:tc>
          <w:tcPr>
            <w:tcW w:type="dxa" w:w="794"/>
            <w:shd w:val="clear" w:color="auto" w:fill="F3F6FA"/>
          </w:tcPr>
          <w:p>
            <w:pPr>
              <w:spacing w:after="0" w:line="245" w:lineRule="auto"/>
              <w:jc w:val="center"/>
            </w:pPr>
            <w:r>
              <w:rPr>
                <w:b w:val="0"/>
                <w:i w:val="0"/>
                <w:sz w:val="16"/>
              </w:rPr>
              <w:t>deny</w:t>
            </w:r>
          </w:p>
        </w:tc>
        <w:tc>
          <w:tcPr>
            <w:tcW w:type="dxa" w:w="3742"/>
            <w:shd w:val="clear" w:color="auto" w:fill="F3F6FA"/>
          </w:tcPr>
          <w:p>
            <w:pPr>
              <w:spacing w:after="0" w:line="245" w:lineRule="auto"/>
              <w:jc w:val="left"/>
            </w:pPr>
            <w:r>
              <w:rPr>
                <w:b w:val="0"/>
                <w:i w:val="0"/>
                <w:sz w:val="16"/>
              </w:rPr>
              <w:t>Méthode JSON-RPC non supportée.</w:t>
            </w:r>
          </w:p>
        </w:tc>
      </w:tr>
    </w:tbl>
    <w:p>
      <w:pPr>
        <w:pStyle w:val="Source"/>
      </w:pPr>
      <w:r>
        <w:rPr>
          <w:rFonts w:ascii="Calibri" w:hAnsi="Calibri" w:eastAsia="Calibri"/>
          <w:i/>
          <w:color w:val="5B6577"/>
          <w:sz w:val="16"/>
        </w:rPr>
        <w:t xml:space="preserve">Source : </w:t>
      </w:r>
      <w:r>
        <w:rPr>
          <w:rFonts w:ascii="Consolas" w:hAnsi="Consolas" w:eastAsia="Consolas"/>
          <w:i/>
          <w:color w:val="5B6577"/>
          <w:sz w:val="15"/>
        </w:rPr>
        <w:t>server.py</w:t>
      </w:r>
      <w:r>
        <w:rPr>
          <w:rFonts w:ascii="Calibri" w:hAnsi="Calibri" w:eastAsia="Calibri"/>
          <w:i/>
          <w:color w:val="5B6577"/>
          <w:sz w:val="16"/>
        </w:rPr>
        <w:t xml:space="preserve">, </w:t>
      </w:r>
      <w:r>
        <w:rPr>
          <w:rFonts w:ascii="Consolas" w:hAnsi="Consolas" w:eastAsia="Consolas"/>
          <w:i/>
          <w:color w:val="5B6577"/>
          <w:sz w:val="15"/>
        </w:rPr>
        <w:t>policy.py</w:t>
      </w:r>
      <w:r>
        <w:rPr>
          <w:rFonts w:ascii="Calibri" w:hAnsi="Calibri" w:eastAsia="Calibri"/>
          <w:i/>
          <w:color w:val="5B6577"/>
          <w:sz w:val="16"/>
        </w:rPr>
        <w:t xml:space="preserve"> ; le client ne reçoit qu'un code public générique.</w:t>
      </w:r>
    </w:p>
    <w:p>
      <w:pPr>
        <w:keepNext w:val="0"/>
      </w:pPr>
      <w:r>
        <w:rPr>
          <w:b w:val="0"/>
          <w:i w:val="0"/>
        </w:rPr>
        <w:t>La séparation entre code public et motif d'audit est volontaire. Le client reçoit un code stable et peu bavard ; l'auditeur voit le motif précis. C'est ce qui permet à A06 et A07 d'avoir le même message côté client, mais deux motifs distincts côté journal.</w:t>
      </w:r>
    </w:p>
    <w:p>
      <w:pPr>
        <w:pStyle w:val="Heading1"/>
      </w:pPr>
      <w:r>
        <w:rPr>
          <w:rFonts w:ascii="Calibri" w:hAnsi="Calibri" w:eastAsia="Calibri"/>
          <w:b/>
          <w:color w:val="10243F"/>
          <w:sz w:val="34"/>
        </w:rPr>
        <w:t>Annexe C — Procédure de reproduction</w:t>
      </w:r>
    </w:p>
    <w:p>
      <w:pPr>
        <w:keepNext w:val="0"/>
      </w:pPr>
      <w:r>
        <w:rPr>
          <w:b w:val="0"/>
          <w:i w:val="0"/>
        </w:rPr>
        <w:t xml:space="preserve">La procédure ci-dessous reconstruit le laboratoire, exécute la campagne, régénère les captures et les figures, puis reconstruit le rapport. Elle se lance depuis la racine du projet ; la partie documentaire requiert Python 3, </w:t>
      </w:r>
      <w:r>
        <w:rPr>
          <w:rFonts w:ascii="Consolas" w:hAnsi="Consolas" w:eastAsia="Consolas"/>
          <w:b w:val="0"/>
          <w:i w:val="0"/>
          <w:color w:val="1F2A3A"/>
        </w:rPr>
        <w:t>python-docx</w:t>
      </w:r>
      <w:r>
        <w:rPr>
          <w:b w:val="0"/>
          <w:i w:val="0"/>
        </w:rPr>
        <w:t xml:space="preserve">, </w:t>
      </w:r>
      <w:r>
        <w:rPr>
          <w:rFonts w:ascii="Consolas" w:hAnsi="Consolas" w:eastAsia="Consolas"/>
          <w:b w:val="0"/>
          <w:i w:val="0"/>
          <w:color w:val="1F2A3A"/>
        </w:rPr>
        <w:t>Pillow</w:t>
      </w:r>
      <w:r>
        <w:rPr>
          <w:b w:val="0"/>
          <w:i w:val="0"/>
        </w:rPr>
        <w:t xml:space="preserve"> et LibreOffice.</w:t>
      </w:r>
    </w:p>
    <w:p>
      <w:pPr>
        <w:pStyle w:val="Code"/>
        <w:pBdr>
          <w:left w:val="single" w:sz="12" w:space="4" w:color="2F6DB3"/>
        </w:pBdr>
        <w:shd w:val="clear" w:color="auto" w:fill="F4F6F9"/>
      </w:pPr>
      <w:r>
        <w:rPr>
          <w:rFonts w:ascii="Consolas" w:hAnsi="Consolas" w:eastAsia="Consolas"/>
          <w:color w:val="1F2A3A"/>
          <w:sz w:val="17"/>
        </w:rPr>
        <w:t>cd /chemin/vers/tekup-mcp-ti</w:t>
      </w:r>
    </w:p>
    <w:p>
      <w:pPr>
        <w:pStyle w:val="Code"/>
        <w:pBdr>
          <w:left w:val="single" w:sz="12" w:space="4" w:color="2F6DB3"/>
        </w:pBdr>
        <w:shd w:val="clear" w:color="auto" w:fill="F4F6F9"/>
      </w:pPr>
      <w:r>
        <w:rPr>
          <w:rFonts w:ascii="Consolas" w:hAnsi="Consolas" w:eastAsia="Consolas"/>
          <w:color w:val="1F2A3A"/>
          <w:sz w:val="17"/>
        </w:rPr>
        <w:t xml:space="preserve"> </w:t>
      </w:r>
    </w:p>
    <w:p>
      <w:pPr>
        <w:pStyle w:val="Code"/>
        <w:pBdr>
          <w:left w:val="single" w:sz="12" w:space="4" w:color="2F6DB3"/>
        </w:pBdr>
        <w:shd w:val="clear" w:color="auto" w:fill="F4F6F9"/>
      </w:pPr>
      <w:r>
        <w:rPr>
          <w:rFonts w:ascii="Consolas" w:hAnsi="Consolas" w:eastAsia="Consolas"/>
          <w:color w:val="1F2A3A"/>
          <w:sz w:val="17"/>
        </w:rPr>
        <w:t># 1. Campagne de tests (recrée preuves/lab)</w:t>
      </w:r>
    </w:p>
    <w:p>
      <w:pPr>
        <w:pStyle w:val="Code"/>
        <w:pBdr>
          <w:left w:val="single" w:sz="12" w:space="4" w:color="2F6DB3"/>
        </w:pBdr>
        <w:shd w:val="clear" w:color="auto" w:fill="F4F6F9"/>
      </w:pPr>
      <w:r>
        <w:rPr>
          <w:rFonts w:ascii="Consolas" w:hAnsi="Consolas" w:eastAsia="Consolas"/>
          <w:color w:val="1F2A3A"/>
          <w:sz w:val="17"/>
        </w:rPr>
        <w:t>python3 tests/run_tests.py</w:t>
      </w:r>
    </w:p>
    <w:p>
      <w:pPr>
        <w:pStyle w:val="Code"/>
        <w:pBdr>
          <w:left w:val="single" w:sz="12" w:space="4" w:color="2F6DB3"/>
        </w:pBdr>
        <w:shd w:val="clear" w:color="auto" w:fill="F4F6F9"/>
      </w:pPr>
      <w:r>
        <w:rPr>
          <w:rFonts w:ascii="Consolas" w:hAnsi="Consolas" w:eastAsia="Consolas"/>
          <w:color w:val="1F2A3A"/>
          <w:sz w:val="17"/>
        </w:rPr>
        <w:t xml:space="preserve"> </w:t>
      </w:r>
    </w:p>
    <w:p>
      <w:pPr>
        <w:pStyle w:val="Code"/>
        <w:pBdr>
          <w:left w:val="single" w:sz="12" w:space="4" w:color="2F6DB3"/>
        </w:pBdr>
        <w:shd w:val="clear" w:color="auto" w:fill="F4F6F9"/>
      </w:pPr>
      <w:r>
        <w:rPr>
          <w:rFonts w:ascii="Consolas" w:hAnsi="Consolas" w:eastAsia="Consolas"/>
          <w:color w:val="1F2A3A"/>
          <w:sz w:val="17"/>
        </w:rPr>
        <w:t># 2. Démonstration de protection du secret (laboratoire séparé)</w:t>
      </w:r>
    </w:p>
    <w:p>
      <w:pPr>
        <w:pStyle w:val="Code"/>
        <w:pBdr>
          <w:left w:val="single" w:sz="12" w:space="4" w:color="2F6DB3"/>
        </w:pBdr>
        <w:shd w:val="clear" w:color="auto" w:fill="F4F6F9"/>
      </w:pPr>
      <w:r>
        <w:rPr>
          <w:rFonts w:ascii="Consolas" w:hAnsi="Consolas" w:eastAsia="Consolas"/>
          <w:color w:val="1F2A3A"/>
          <w:sz w:val="17"/>
        </w:rPr>
        <w:t>python3 scripts/demo_defense.py</w:t>
      </w:r>
    </w:p>
    <w:p>
      <w:pPr>
        <w:pStyle w:val="Code"/>
        <w:pBdr>
          <w:left w:val="single" w:sz="12" w:space="4" w:color="2F6DB3"/>
        </w:pBdr>
        <w:shd w:val="clear" w:color="auto" w:fill="F4F6F9"/>
      </w:pPr>
      <w:r>
        <w:rPr>
          <w:rFonts w:ascii="Consolas" w:hAnsi="Consolas" w:eastAsia="Consolas"/>
          <w:color w:val="1F2A3A"/>
          <w:sz w:val="17"/>
        </w:rPr>
        <w:t xml:space="preserve"> </w:t>
      </w:r>
    </w:p>
    <w:p>
      <w:pPr>
        <w:pStyle w:val="Code"/>
        <w:pBdr>
          <w:left w:val="single" w:sz="12" w:space="4" w:color="2F6DB3"/>
        </w:pBdr>
        <w:shd w:val="clear" w:color="auto" w:fill="F4F6F9"/>
      </w:pPr>
      <w:r>
        <w:rPr>
          <w:rFonts w:ascii="Consolas" w:hAnsi="Consolas" w:eastAsia="Consolas"/>
          <w:color w:val="1F2A3A"/>
          <w:sz w:val="17"/>
        </w:rPr>
        <w:t># 3. Captures d'écran à partir des sorties réelles</w:t>
      </w:r>
    </w:p>
    <w:p>
      <w:pPr>
        <w:pStyle w:val="Code"/>
        <w:pBdr>
          <w:left w:val="single" w:sz="12" w:space="4" w:color="2F6DB3"/>
        </w:pBdr>
        <w:shd w:val="clear" w:color="auto" w:fill="F4F6F9"/>
      </w:pPr>
      <w:r>
        <w:rPr>
          <w:rFonts w:ascii="Consolas" w:hAnsi="Consolas" w:eastAsia="Consolas"/>
          <w:color w:val="1F2A3A"/>
          <w:sz w:val="17"/>
        </w:rPr>
        <w:t>python3 scripts/make_captures.py</w:t>
      </w:r>
    </w:p>
    <w:p>
      <w:pPr>
        <w:pStyle w:val="Code"/>
        <w:pBdr>
          <w:left w:val="single" w:sz="12" w:space="4" w:color="2F6DB3"/>
        </w:pBdr>
        <w:shd w:val="clear" w:color="auto" w:fill="F4F6F9"/>
      </w:pPr>
      <w:r>
        <w:rPr>
          <w:rFonts w:ascii="Consolas" w:hAnsi="Consolas" w:eastAsia="Consolas"/>
          <w:color w:val="1F2A3A"/>
          <w:sz w:val="17"/>
        </w:rPr>
        <w:t xml:space="preserve"> </w:t>
      </w:r>
    </w:p>
    <w:p>
      <w:pPr>
        <w:pStyle w:val="Code"/>
        <w:pBdr>
          <w:left w:val="single" w:sz="12" w:space="4" w:color="2F6DB3"/>
        </w:pBdr>
        <w:shd w:val="clear" w:color="auto" w:fill="F4F6F9"/>
      </w:pPr>
      <w:r>
        <w:rPr>
          <w:rFonts w:ascii="Consolas" w:hAnsi="Consolas" w:eastAsia="Consolas"/>
          <w:color w:val="1F2A3A"/>
          <w:sz w:val="17"/>
        </w:rPr>
        <w:t># 4. Figures du rapport</w:t>
      </w:r>
    </w:p>
    <w:p>
      <w:pPr>
        <w:pStyle w:val="Code"/>
        <w:pBdr>
          <w:left w:val="single" w:sz="12" w:space="4" w:color="2F6DB3"/>
        </w:pBdr>
        <w:shd w:val="clear" w:color="auto" w:fill="F4F6F9"/>
      </w:pPr>
      <w:r>
        <w:rPr>
          <w:rFonts w:ascii="Consolas" w:hAnsi="Consolas" w:eastAsia="Consolas"/>
          <w:color w:val="1F2A3A"/>
          <w:sz w:val="17"/>
        </w:rPr>
        <w:t>python3 scripts/make_figures.py</w:t>
      </w:r>
    </w:p>
    <w:p>
      <w:pPr>
        <w:pStyle w:val="Code"/>
        <w:pBdr>
          <w:left w:val="single" w:sz="12" w:space="4" w:color="2F6DB3"/>
        </w:pBdr>
        <w:shd w:val="clear" w:color="auto" w:fill="F4F6F9"/>
      </w:pPr>
      <w:r>
        <w:rPr>
          <w:rFonts w:ascii="Consolas" w:hAnsi="Consolas" w:eastAsia="Consolas"/>
          <w:color w:val="1F2A3A"/>
          <w:sz w:val="17"/>
        </w:rPr>
        <w:t xml:space="preserve"> </w:t>
      </w:r>
    </w:p>
    <w:p>
      <w:pPr>
        <w:pStyle w:val="Code"/>
        <w:pBdr>
          <w:left w:val="single" w:sz="12" w:space="4" w:color="2F6DB3"/>
        </w:pBdr>
        <w:shd w:val="clear" w:color="auto" w:fill="F4F6F9"/>
      </w:pPr>
      <w:r>
        <w:rPr>
          <w:rFonts w:ascii="Consolas" w:hAnsi="Consolas" w:eastAsia="Consolas"/>
          <w:color w:val="1F2A3A"/>
          <w:sz w:val="17"/>
        </w:rPr>
        <w:t># 5. Rapport DOCX + PDF (calcule les pages réelles)</w:t>
      </w:r>
    </w:p>
    <w:p>
      <w:pPr>
        <w:pStyle w:val="Code"/>
        <w:pBdr>
          <w:left w:val="single" w:sz="12" w:space="4" w:color="2F6DB3"/>
        </w:pBdr>
        <w:shd w:val="clear" w:color="auto" w:fill="F4F6F9"/>
      </w:pPr>
      <w:r>
        <w:rPr>
          <w:rFonts w:ascii="Consolas" w:hAnsi="Consolas" w:eastAsia="Consolas"/>
          <w:color w:val="1F2A3A"/>
          <w:sz w:val="17"/>
        </w:rPr>
        <w:t>python3 docs/build_report.py</w:t>
      </w:r>
    </w:p>
    <w:p>
      <w:pPr>
        <w:pStyle w:val="Code"/>
        <w:pBdr>
          <w:left w:val="single" w:sz="12" w:space="4" w:color="2F6DB3"/>
        </w:pBdr>
        <w:shd w:val="clear" w:color="auto" w:fill="F4F6F9"/>
      </w:pPr>
      <w:r>
        <w:rPr>
          <w:rFonts w:ascii="Consolas" w:hAnsi="Consolas" w:eastAsia="Consolas"/>
          <w:color w:val="1F2A3A"/>
          <w:sz w:val="17"/>
        </w:rPr>
        <w:t xml:space="preserve"> </w:t>
      </w:r>
    </w:p>
    <w:p>
      <w:pPr>
        <w:pStyle w:val="Code"/>
        <w:pBdr>
          <w:left w:val="single" w:sz="12" w:space="4" w:color="2F6DB3"/>
        </w:pBdr>
        <w:shd w:val="clear" w:color="auto" w:fill="F4F6F9"/>
      </w:pPr>
      <w:r>
        <w:rPr>
          <w:rFonts w:ascii="Consolas" w:hAnsi="Consolas" w:eastAsia="Consolas"/>
          <w:color w:val="1F2A3A"/>
          <w:sz w:val="17"/>
        </w:rPr>
        <w:t># 6. Vérifications rapides</w:t>
      </w:r>
    </w:p>
    <w:p>
      <w:pPr>
        <w:pStyle w:val="Code"/>
        <w:pBdr>
          <w:left w:val="single" w:sz="12" w:space="4" w:color="2F6DB3"/>
        </w:pBdr>
        <w:shd w:val="clear" w:color="auto" w:fill="F4F6F9"/>
      </w:pPr>
      <w:r>
        <w:rPr>
          <w:rFonts w:ascii="Consolas" w:hAnsi="Consolas" w:eastAsia="Consolas"/>
          <w:color w:val="1F2A3A"/>
          <w:sz w:val="17"/>
        </w:rPr>
        <w:t>pdftotext docs/rapport/Rapport_MCP_Threat_Intelligence_TEK-UP.pdf - | head</w:t>
      </w:r>
    </w:p>
    <w:p>
      <w:pPr>
        <w:pStyle w:val="Code"/>
        <w:pBdr>
          <w:left w:val="single" w:sz="12" w:space="4" w:color="2F6DB3"/>
        </w:pBdr>
        <w:shd w:val="clear" w:color="auto" w:fill="F4F6F9"/>
      </w:pPr>
      <w:r>
        <w:rPr>
          <w:rFonts w:ascii="Consolas" w:hAnsi="Consolas" w:eastAsia="Consolas"/>
          <w:color w:val="1F2A3A"/>
          <w:sz w:val="17"/>
        </w:rPr>
        <w:t>python3 src/ti_cli.py verify-audit --path preuves/lab/audit.jsonl</w:t>
      </w:r>
    </w:p>
    <w:p>
      <w:pPr>
        <w:keepNext w:val="0"/>
      </w:pPr>
      <w:r>
        <w:rPr>
          <w:b w:val="0"/>
          <w:i w:val="0"/>
        </w:rPr>
        <w:t xml:space="preserve">Les captures sont générées par </w:t>
      </w:r>
      <w:r>
        <w:rPr>
          <w:rFonts w:ascii="Consolas" w:hAnsi="Consolas" w:eastAsia="Consolas"/>
          <w:b w:val="0"/>
          <w:i w:val="0"/>
          <w:color w:val="1F2A3A"/>
        </w:rPr>
        <w:t>make_captures.py</w:t>
      </w:r>
      <w:r>
        <w:rPr>
          <w:b w:val="0"/>
          <w:i w:val="0"/>
        </w:rPr>
        <w:t xml:space="preserve"> à partir de </w:t>
      </w:r>
      <w:r>
        <w:rPr>
          <w:rFonts w:ascii="Consolas" w:hAnsi="Consolas" w:eastAsia="Consolas"/>
          <w:b w:val="0"/>
          <w:i w:val="0"/>
          <w:color w:val="1F2A3A"/>
        </w:rPr>
        <w:t>preuves/logs/demo_capture.json</w:t>
      </w:r>
      <w:r>
        <w:rPr>
          <w:b w:val="0"/>
          <w:i w:val="0"/>
        </w:rPr>
        <w:t xml:space="preserve"> et de </w:t>
      </w:r>
      <w:r>
        <w:rPr>
          <w:rFonts w:ascii="Consolas" w:hAnsi="Consolas" w:eastAsia="Consolas"/>
          <w:b w:val="0"/>
          <w:i w:val="0"/>
          <w:color w:val="1F2A3A"/>
        </w:rPr>
        <w:t>preuves/logs/tests_latest.json</w:t>
      </w:r>
      <w:r>
        <w:rPr>
          <w:b w:val="0"/>
          <w:i w:val="0"/>
        </w:rPr>
        <w:t xml:space="preserve">. Les figures sont générées par </w:t>
      </w:r>
      <w:r>
        <w:rPr>
          <w:rFonts w:ascii="Consolas" w:hAnsi="Consolas" w:eastAsia="Consolas"/>
          <w:b w:val="0"/>
          <w:i w:val="0"/>
          <w:color w:val="1F2A3A"/>
        </w:rPr>
        <w:t>make_figures.py</w:t>
      </w:r>
      <w:r>
        <w:rPr>
          <w:b w:val="0"/>
          <w:i w:val="0"/>
        </w:rPr>
        <w:t xml:space="preserve"> à partir des choix d'architecture et des métriques. Le rapport est construit en deux passes : une première conversion PDF permet de relever les pages réelles des titres, des figures et des tableaux ; une seconde passe inscrit ces pages dans les champs TOC et SEQ, puis reconvertit. La pagination est vérifiée par </w:t>
      </w:r>
      <w:r>
        <w:rPr>
          <w:rFonts w:ascii="Consolas" w:hAnsi="Consolas" w:eastAsia="Consolas"/>
          <w:b w:val="0"/>
          <w:i w:val="0"/>
          <w:color w:val="1F2A3A"/>
        </w:rPr>
        <w:t>pdftotext</w:t>
      </w:r>
      <w:r>
        <w:rPr>
          <w:b w:val="0"/>
          <w:i w:val="0"/>
        </w:rPr>
        <w:t>.</w:t>
      </w:r>
    </w:p>
    <w:p>
      <w:pPr>
        <w:pStyle w:val="Heading1"/>
      </w:pPr>
      <w:r>
        <w:rPr>
          <w:rFonts w:ascii="Calibri" w:hAnsi="Calibri" w:eastAsia="Calibri"/>
          <w:b/>
          <w:color w:val="10243F"/>
          <w:sz w:val="34"/>
        </w:rPr>
        <w:t>Annexe D — Unité systemd proposée</w:t>
      </w:r>
    </w:p>
    <w:p>
      <w:pPr>
        <w:keepNext w:val="0"/>
      </w:pPr>
      <w:r>
        <w:rPr>
          <w:b w:val="0"/>
          <w:i w:val="0"/>
        </w:rPr>
        <w:t xml:space="preserve">L'unité ci-dessous n'est pas installée dans le laboratoire. Elle est fournie comme point de départ pour une intégration sur un hôte Linux avec systemd. Elle applique le moindre privilège, le système de fichiers en lecture seule et l'absence de réseau. Son statut est </w:t>
      </w:r>
      <w:r>
        <w:rPr>
          <w:b/>
          <w:i w:val="0"/>
        </w:rPr>
        <w:t>proposé</w:t>
      </w:r>
      <w:r>
        <w:rPr>
          <w:b w:val="0"/>
          <w:i w:val="0"/>
        </w:rPr>
        <w:t xml:space="preserve">, pas </w:t>
      </w:r>
      <w:r>
        <w:rPr>
          <w:b/>
          <w:i w:val="0"/>
        </w:rPr>
        <w:t>testé</w:t>
      </w:r>
      <w:r>
        <w:rPr>
          <w:b w:val="0"/>
          <w:i w:val="0"/>
        </w:rPr>
        <w:t>.</w:t>
      </w:r>
    </w:p>
    <w:p>
      <w:pPr>
        <w:pStyle w:val="Code"/>
        <w:pBdr>
          <w:left w:val="single" w:sz="12" w:space="4" w:color="2F6DB3"/>
        </w:pBdr>
        <w:shd w:val="clear" w:color="auto" w:fill="F4F6F9"/>
      </w:pPr>
      <w:r>
        <w:rPr>
          <w:rFonts w:ascii="Consolas" w:hAnsi="Consolas" w:eastAsia="Consolas"/>
          <w:color w:val="1F2A3A"/>
          <w:sz w:val="17"/>
        </w:rPr>
        <w:t>[Unit]</w:t>
      </w:r>
    </w:p>
    <w:p>
      <w:pPr>
        <w:pStyle w:val="Code"/>
        <w:pBdr>
          <w:left w:val="single" w:sz="12" w:space="4" w:color="2F6DB3"/>
        </w:pBdr>
        <w:shd w:val="clear" w:color="auto" w:fill="F4F6F9"/>
      </w:pPr>
      <w:r>
        <w:rPr>
          <w:rFonts w:ascii="Consolas" w:hAnsi="Consolas" w:eastAsia="Consolas"/>
          <w:color w:val="1F2A3A"/>
          <w:sz w:val="17"/>
        </w:rPr>
        <w:t>Description=TEK-UP MCP Threat Intelligence (stdio)</w:t>
      </w:r>
    </w:p>
    <w:p>
      <w:pPr>
        <w:pStyle w:val="Code"/>
        <w:pBdr>
          <w:left w:val="single" w:sz="12" w:space="4" w:color="2F6DB3"/>
        </w:pBdr>
        <w:shd w:val="clear" w:color="auto" w:fill="F4F6F9"/>
      </w:pPr>
      <w:r>
        <w:rPr>
          <w:rFonts w:ascii="Consolas" w:hAnsi="Consolas" w:eastAsia="Consolas"/>
          <w:color w:val="1F2A3A"/>
          <w:sz w:val="17"/>
        </w:rPr>
        <w:t>After=network.target</w:t>
      </w:r>
    </w:p>
    <w:p>
      <w:pPr>
        <w:pStyle w:val="Code"/>
        <w:pBdr>
          <w:left w:val="single" w:sz="12" w:space="4" w:color="2F6DB3"/>
        </w:pBdr>
        <w:shd w:val="clear" w:color="auto" w:fill="F4F6F9"/>
      </w:pPr>
      <w:r>
        <w:rPr>
          <w:rFonts w:ascii="Consolas" w:hAnsi="Consolas" w:eastAsia="Consolas"/>
          <w:color w:val="1F2A3A"/>
          <w:sz w:val="17"/>
        </w:rPr>
        <w:t xml:space="preserve"> </w:t>
      </w:r>
    </w:p>
    <w:p>
      <w:pPr>
        <w:pStyle w:val="Code"/>
        <w:pBdr>
          <w:left w:val="single" w:sz="12" w:space="4" w:color="2F6DB3"/>
        </w:pBdr>
        <w:shd w:val="clear" w:color="auto" w:fill="F4F6F9"/>
      </w:pPr>
      <w:r>
        <w:rPr>
          <w:rFonts w:ascii="Consolas" w:hAnsi="Consolas" w:eastAsia="Consolas"/>
          <w:color w:val="1F2A3A"/>
          <w:sz w:val="17"/>
        </w:rPr>
        <w:t>[Service]</w:t>
      </w:r>
    </w:p>
    <w:p>
      <w:pPr>
        <w:pStyle w:val="Code"/>
        <w:pBdr>
          <w:left w:val="single" w:sz="12" w:space="4" w:color="2F6DB3"/>
        </w:pBdr>
        <w:shd w:val="clear" w:color="auto" w:fill="F4F6F9"/>
      </w:pPr>
      <w:r>
        <w:rPr>
          <w:rFonts w:ascii="Consolas" w:hAnsi="Consolas" w:eastAsia="Consolas"/>
          <w:color w:val="1F2A3A"/>
          <w:sz w:val="17"/>
        </w:rPr>
        <w:t>Type=simple</w:t>
      </w:r>
    </w:p>
    <w:p>
      <w:pPr>
        <w:pStyle w:val="Code"/>
        <w:pBdr>
          <w:left w:val="single" w:sz="12" w:space="4" w:color="2F6DB3"/>
        </w:pBdr>
        <w:shd w:val="clear" w:color="auto" w:fill="F4F6F9"/>
      </w:pPr>
      <w:r>
        <w:rPr>
          <w:rFonts w:ascii="Consolas" w:hAnsi="Consolas" w:eastAsia="Consolas"/>
          <w:color w:val="1F2A3A"/>
          <w:sz w:val="17"/>
        </w:rPr>
        <w:t>User=nobody</w:t>
      </w:r>
    </w:p>
    <w:p>
      <w:pPr>
        <w:pStyle w:val="Code"/>
        <w:pBdr>
          <w:left w:val="single" w:sz="12" w:space="4" w:color="2F6DB3"/>
        </w:pBdr>
        <w:shd w:val="clear" w:color="auto" w:fill="F4F6F9"/>
      </w:pPr>
      <w:r>
        <w:rPr>
          <w:rFonts w:ascii="Consolas" w:hAnsi="Consolas" w:eastAsia="Consolas"/>
          <w:color w:val="1F2A3A"/>
          <w:sz w:val="17"/>
        </w:rPr>
        <w:t>Group=nogroup</w:t>
      </w:r>
    </w:p>
    <w:p>
      <w:pPr>
        <w:pStyle w:val="Code"/>
        <w:pBdr>
          <w:left w:val="single" w:sz="12" w:space="4" w:color="2F6DB3"/>
        </w:pBdr>
        <w:shd w:val="clear" w:color="auto" w:fill="F4F6F9"/>
      </w:pPr>
      <w:r>
        <w:rPr>
          <w:rFonts w:ascii="Consolas" w:hAnsi="Consolas" w:eastAsia="Consolas"/>
          <w:color w:val="1F2A3A"/>
          <w:sz w:val="17"/>
        </w:rPr>
        <w:t>WorkingDirectory=/opt/tekup-mcp-ti</w:t>
      </w:r>
    </w:p>
    <w:p>
      <w:pPr>
        <w:pStyle w:val="Code"/>
        <w:pBdr>
          <w:left w:val="single" w:sz="12" w:space="4" w:color="2F6DB3"/>
        </w:pBdr>
        <w:shd w:val="clear" w:color="auto" w:fill="F4F6F9"/>
      </w:pPr>
      <w:r>
        <w:rPr>
          <w:rFonts w:ascii="Consolas" w:hAnsi="Consolas" w:eastAsia="Consolas"/>
          <w:color w:val="1F2A3A"/>
          <w:sz w:val="17"/>
        </w:rPr>
        <w:t>Environment=TI_HOME=/opt/tekup-mcp-ti</w:t>
      </w:r>
    </w:p>
    <w:p>
      <w:pPr>
        <w:pStyle w:val="Code"/>
        <w:pBdr>
          <w:left w:val="single" w:sz="12" w:space="4" w:color="2F6DB3"/>
        </w:pBdr>
        <w:shd w:val="clear" w:color="auto" w:fill="F4F6F9"/>
      </w:pPr>
      <w:r>
        <w:rPr>
          <w:rFonts w:ascii="Consolas" w:hAnsi="Consolas" w:eastAsia="Consolas"/>
          <w:color w:val="1F2A3A"/>
          <w:sz w:val="17"/>
        </w:rPr>
        <w:t>Environment=TI_DB=/var/lib/tekup-ti/ti.db</w:t>
      </w:r>
    </w:p>
    <w:p>
      <w:pPr>
        <w:pStyle w:val="Code"/>
        <w:pBdr>
          <w:left w:val="single" w:sz="12" w:space="4" w:color="2F6DB3"/>
        </w:pBdr>
        <w:shd w:val="clear" w:color="auto" w:fill="F4F6F9"/>
      </w:pPr>
      <w:r>
        <w:rPr>
          <w:rFonts w:ascii="Consolas" w:hAnsi="Consolas" w:eastAsia="Consolas"/>
          <w:color w:val="1F2A3A"/>
          <w:sz w:val="17"/>
        </w:rPr>
        <w:t>Environment=TI_KEY_PATH=/etc/tekup-ti/token.key</w:t>
      </w:r>
    </w:p>
    <w:p>
      <w:pPr>
        <w:pStyle w:val="Code"/>
        <w:pBdr>
          <w:left w:val="single" w:sz="12" w:space="4" w:color="2F6DB3"/>
        </w:pBdr>
        <w:shd w:val="clear" w:color="auto" w:fill="F4F6F9"/>
      </w:pPr>
      <w:r>
        <w:rPr>
          <w:rFonts w:ascii="Consolas" w:hAnsi="Consolas" w:eastAsia="Consolas"/>
          <w:color w:val="1F2A3A"/>
          <w:sz w:val="17"/>
        </w:rPr>
        <w:t>Environment=TI_AUDIT=/var/log/tekup-ti/audit.jsonl</w:t>
      </w:r>
    </w:p>
    <w:p>
      <w:pPr>
        <w:pStyle w:val="Code"/>
        <w:pBdr>
          <w:left w:val="single" w:sz="12" w:space="4" w:color="2F6DB3"/>
        </w:pBdr>
        <w:shd w:val="clear" w:color="auto" w:fill="F4F6F9"/>
      </w:pPr>
      <w:r>
        <w:rPr>
          <w:rFonts w:ascii="Consolas" w:hAnsi="Consolas" w:eastAsia="Consolas"/>
          <w:color w:val="1F2A3A"/>
          <w:sz w:val="17"/>
        </w:rPr>
        <w:t>ExecStart=/usr/bin/python3 -m ti_server</w:t>
      </w:r>
    </w:p>
    <w:p>
      <w:pPr>
        <w:pStyle w:val="Code"/>
        <w:pBdr>
          <w:left w:val="single" w:sz="12" w:space="4" w:color="2F6DB3"/>
        </w:pBdr>
        <w:shd w:val="clear" w:color="auto" w:fill="F4F6F9"/>
      </w:pPr>
      <w:r>
        <w:rPr>
          <w:rFonts w:ascii="Consolas" w:hAnsi="Consolas" w:eastAsia="Consolas"/>
          <w:color w:val="1F2A3A"/>
          <w:sz w:val="17"/>
        </w:rPr>
        <w:t>NoNewPrivileges=yes</w:t>
      </w:r>
    </w:p>
    <w:p>
      <w:pPr>
        <w:pStyle w:val="Code"/>
        <w:pBdr>
          <w:left w:val="single" w:sz="12" w:space="4" w:color="2F6DB3"/>
        </w:pBdr>
        <w:shd w:val="clear" w:color="auto" w:fill="F4F6F9"/>
      </w:pPr>
      <w:r>
        <w:rPr>
          <w:rFonts w:ascii="Consolas" w:hAnsi="Consolas" w:eastAsia="Consolas"/>
          <w:color w:val="1F2A3A"/>
          <w:sz w:val="17"/>
        </w:rPr>
        <w:t>ProtectSystem=strict</w:t>
      </w:r>
    </w:p>
    <w:p>
      <w:pPr>
        <w:pStyle w:val="Code"/>
        <w:pBdr>
          <w:left w:val="single" w:sz="12" w:space="4" w:color="2F6DB3"/>
        </w:pBdr>
        <w:shd w:val="clear" w:color="auto" w:fill="F4F6F9"/>
      </w:pPr>
      <w:r>
        <w:rPr>
          <w:rFonts w:ascii="Consolas" w:hAnsi="Consolas" w:eastAsia="Consolas"/>
          <w:color w:val="1F2A3A"/>
          <w:sz w:val="17"/>
        </w:rPr>
        <w:t>ProtectHome=yes</w:t>
      </w:r>
    </w:p>
    <w:p>
      <w:pPr>
        <w:pStyle w:val="Code"/>
        <w:pBdr>
          <w:left w:val="single" w:sz="12" w:space="4" w:color="2F6DB3"/>
        </w:pBdr>
        <w:shd w:val="clear" w:color="auto" w:fill="F4F6F9"/>
      </w:pPr>
      <w:r>
        <w:rPr>
          <w:rFonts w:ascii="Consolas" w:hAnsi="Consolas" w:eastAsia="Consolas"/>
          <w:color w:val="1F2A3A"/>
          <w:sz w:val="17"/>
        </w:rPr>
        <w:t>PrivateTmp=yes</w:t>
      </w:r>
    </w:p>
    <w:p>
      <w:pPr>
        <w:pStyle w:val="Code"/>
        <w:pBdr>
          <w:left w:val="single" w:sz="12" w:space="4" w:color="2F6DB3"/>
        </w:pBdr>
        <w:shd w:val="clear" w:color="auto" w:fill="F4F6F9"/>
      </w:pPr>
      <w:r>
        <w:rPr>
          <w:rFonts w:ascii="Consolas" w:hAnsi="Consolas" w:eastAsia="Consolas"/>
          <w:color w:val="1F2A3A"/>
          <w:sz w:val="17"/>
        </w:rPr>
        <w:t>PrivateNetwork=yes</w:t>
      </w:r>
    </w:p>
    <w:p>
      <w:pPr>
        <w:pStyle w:val="Code"/>
        <w:pBdr>
          <w:left w:val="single" w:sz="12" w:space="4" w:color="2F6DB3"/>
        </w:pBdr>
        <w:shd w:val="clear" w:color="auto" w:fill="F4F6F9"/>
      </w:pPr>
      <w:r>
        <w:rPr>
          <w:rFonts w:ascii="Consolas" w:hAnsi="Consolas" w:eastAsia="Consolas"/>
          <w:color w:val="1F2A3A"/>
          <w:sz w:val="17"/>
        </w:rPr>
        <w:t>ReadOnlyPaths=/opt/tekup-mcp-ti /var/lib/tekup-ti</w:t>
      </w:r>
    </w:p>
    <w:p>
      <w:pPr>
        <w:pStyle w:val="Code"/>
        <w:pBdr>
          <w:left w:val="single" w:sz="12" w:space="4" w:color="2F6DB3"/>
        </w:pBdr>
        <w:shd w:val="clear" w:color="auto" w:fill="F4F6F9"/>
      </w:pPr>
      <w:r>
        <w:rPr>
          <w:rFonts w:ascii="Consolas" w:hAnsi="Consolas" w:eastAsia="Consolas"/>
          <w:color w:val="1F2A3A"/>
          <w:sz w:val="17"/>
        </w:rPr>
        <w:t>ReadWritePaths=/var/log/tekup-ti</w:t>
      </w:r>
    </w:p>
    <w:p>
      <w:pPr>
        <w:pStyle w:val="Code"/>
        <w:pBdr>
          <w:left w:val="single" w:sz="12" w:space="4" w:color="2F6DB3"/>
        </w:pBdr>
        <w:shd w:val="clear" w:color="auto" w:fill="F4F6F9"/>
      </w:pPr>
      <w:r>
        <w:rPr>
          <w:rFonts w:ascii="Consolas" w:hAnsi="Consolas" w:eastAsia="Consolas"/>
          <w:color w:val="1F2A3A"/>
          <w:sz w:val="17"/>
        </w:rPr>
        <w:t>Restart=on-failure</w:t>
      </w:r>
    </w:p>
    <w:p>
      <w:pPr>
        <w:pStyle w:val="Code"/>
        <w:pBdr>
          <w:left w:val="single" w:sz="12" w:space="4" w:color="2F6DB3"/>
        </w:pBdr>
        <w:shd w:val="clear" w:color="auto" w:fill="F4F6F9"/>
      </w:pPr>
      <w:r>
        <w:rPr>
          <w:rFonts w:ascii="Consolas" w:hAnsi="Consolas" w:eastAsia="Consolas"/>
          <w:color w:val="1F2A3A"/>
          <w:sz w:val="17"/>
        </w:rPr>
        <w:t xml:space="preserve"> </w:t>
      </w:r>
    </w:p>
    <w:p>
      <w:pPr>
        <w:pStyle w:val="Code"/>
        <w:pBdr>
          <w:left w:val="single" w:sz="12" w:space="4" w:color="2F6DB3"/>
        </w:pBdr>
        <w:shd w:val="clear" w:color="auto" w:fill="F4F6F9"/>
      </w:pPr>
      <w:r>
        <w:rPr>
          <w:rFonts w:ascii="Consolas" w:hAnsi="Consolas" w:eastAsia="Consolas"/>
          <w:color w:val="1F2A3A"/>
          <w:sz w:val="17"/>
        </w:rPr>
        <w:t>[Install]</w:t>
      </w:r>
    </w:p>
    <w:p>
      <w:pPr>
        <w:pStyle w:val="Code"/>
        <w:pBdr>
          <w:left w:val="single" w:sz="12" w:space="4" w:color="2F6DB3"/>
        </w:pBdr>
        <w:shd w:val="clear" w:color="auto" w:fill="F4F6F9"/>
      </w:pPr>
      <w:r>
        <w:rPr>
          <w:rFonts w:ascii="Consolas" w:hAnsi="Consolas" w:eastAsia="Consolas"/>
          <w:color w:val="1F2A3A"/>
          <w:sz w:val="17"/>
        </w:rPr>
        <w:t>WantedBy=multi-user.target</w:t>
      </w:r>
    </w:p>
    <w:p>
      <w:pPr>
        <w:pStyle w:val="Heading1"/>
      </w:pPr>
      <w:r>
        <w:rPr>
          <w:rFonts w:ascii="Calibri" w:hAnsi="Calibri" w:eastAsia="Calibri"/>
          <w:b/>
          <w:color w:val="10243F"/>
          <w:sz w:val="34"/>
        </w:rPr>
        <w:t>Annexe E — Glossaire</w:t>
      </w:r>
    </w:p>
    <w:p>
      <w:pPr>
        <w:pStyle w:val="Légende"/>
        <w:keepNext/>
      </w:pPr>
      <w:r>
        <w:rPr>
          <w:rFonts w:ascii="Calibri" w:hAnsi="Calibri" w:eastAsia="Calibri"/>
          <w:i/>
          <w:color w:val="5B6577"/>
          <w:sz w:val="18"/>
        </w:rPr>
        <w:t xml:space="preserve">Tableau </w:t>
      </w:r>
      <w:r>
        <w:fldChar w:fldCharType="begin"/>
      </w:r>
      <w:r>
        <w:instrText xml:space="preserve"> SEQ Tableau \* ARABIC </w:instrText>
      </w:r>
      <w:r>
        <w:fldChar w:fldCharType="separate"/>
      </w:r>
      <w:r>
        <w:rPr>
          <w:color w:val="5B6577"/>
          <w:sz w:val="18"/>
        </w:rPr>
        <w:t>12</w:t>
      </w:r>
      <w:r>
        <w:fldChar w:fldCharType="end"/>
      </w:r>
      <w:r>
        <w:rPr>
          <w:rFonts w:ascii="Calibri" w:hAnsi="Calibri" w:eastAsia="Calibri"/>
          <w:i/>
          <w:color w:val="5B6577"/>
          <w:sz w:val="18"/>
        </w:rPr>
        <w:t xml:space="preserve"> — Glossaire des termes techniques</w:t>
      </w:r>
    </w:p>
    <w:tbl>
      <w:tblPr>
        <w:tblW w:type="auto" w:w="0"/>
        <w:jc w:val="center"/>
        <w:tblLayout w:type="fixed"/>
        <w:tblLook w:firstColumn="1" w:firstRow="1" w:lastColumn="0" w:lastRow="0" w:noHBand="0" w:noVBand="1" w:val="04A0"/>
        <w:tblCellMar>
          <w:top w:w="40" w:type="dxa"/>
          <w:left w:w="80" w:type="dxa"/>
          <w:bottom w:w="40" w:type="dxa"/>
          <w:right w:w="80" w:type="dxa"/>
        </w:tblCellMar>
      </w:tblPr>
      <w:tblGrid>
        <w:gridCol w:w="4819"/>
        <w:gridCol w:w="4819"/>
      </w:tblGrid>
      <w:tr>
        <w:trPr>
          <w:tblHeader w:val="true"/>
          <w:cantSplit w:val="true"/>
        </w:trPr>
        <w:tc>
          <w:tcPr>
            <w:tcW w:type="dxa" w:w="2154"/>
            <w:shd w:val="clear" w:color="auto" w:fill="10243F"/>
          </w:tcPr>
          <w:p>
            <w:pPr>
              <w:spacing w:after="0"/>
              <w:jc w:val="center"/>
            </w:pPr>
            <w:r>
              <w:rPr>
                <w:rFonts w:ascii="Calibri" w:hAnsi="Calibri" w:eastAsia="Calibri"/>
                <w:b/>
                <w:color w:val="FFFFFF"/>
                <w:sz w:val="16"/>
              </w:rPr>
              <w:t>Terme</w:t>
            </w:r>
          </w:p>
        </w:tc>
        <w:tc>
          <w:tcPr>
            <w:tcW w:type="dxa" w:w="7143"/>
            <w:shd w:val="clear" w:color="auto" w:fill="10243F"/>
          </w:tcPr>
          <w:p>
            <w:pPr>
              <w:spacing w:after="0"/>
              <w:jc w:val="center"/>
            </w:pPr>
            <w:r>
              <w:rPr>
                <w:rFonts w:ascii="Calibri" w:hAnsi="Calibri" w:eastAsia="Calibri"/>
                <w:b/>
                <w:color w:val="FFFFFF"/>
                <w:sz w:val="16"/>
              </w:rPr>
              <w:t>Définition dans le projet</w:t>
            </w:r>
          </w:p>
        </w:tc>
      </w:tr>
      <w:tr>
        <w:trPr>
          <w:cantSplit w:val="true"/>
        </w:trPr>
        <w:tc>
          <w:tcPr>
            <w:tcW w:type="dxa" w:w="2154"/>
          </w:tcPr>
          <w:p>
            <w:pPr>
              <w:spacing w:after="0" w:line="245" w:lineRule="auto"/>
              <w:jc w:val="left"/>
            </w:pPr>
            <w:r>
              <w:rPr>
                <w:b/>
                <w:i w:val="0"/>
                <w:sz w:val="16"/>
              </w:rPr>
              <w:t>MCP</w:t>
            </w:r>
          </w:p>
        </w:tc>
        <w:tc>
          <w:tcPr>
            <w:tcW w:type="dxa" w:w="7143"/>
          </w:tcPr>
          <w:p>
            <w:pPr>
              <w:spacing w:after="0" w:line="245" w:lineRule="auto"/>
              <w:jc w:val="left"/>
            </w:pPr>
            <w:r>
              <w:rPr>
                <w:b w:val="0"/>
                <w:i w:val="0"/>
                <w:sz w:val="16"/>
              </w:rPr>
              <w:t>Model Context Protocol : protocole de découverte et d'appel d'outils par un agent.</w:t>
            </w:r>
          </w:p>
        </w:tc>
      </w:tr>
      <w:tr>
        <w:trPr>
          <w:cantSplit w:val="true"/>
        </w:trPr>
        <w:tc>
          <w:tcPr>
            <w:tcW w:type="dxa" w:w="2154"/>
            <w:shd w:val="clear" w:color="auto" w:fill="F3F6FA"/>
          </w:tcPr>
          <w:p>
            <w:pPr>
              <w:spacing w:after="0" w:line="245" w:lineRule="auto"/>
              <w:jc w:val="left"/>
            </w:pPr>
            <w:r>
              <w:rPr>
                <w:b/>
                <w:i w:val="0"/>
                <w:sz w:val="16"/>
              </w:rPr>
              <w:t>JSON-RPC 2.0</w:t>
            </w:r>
          </w:p>
        </w:tc>
        <w:tc>
          <w:tcPr>
            <w:tcW w:type="dxa" w:w="7143"/>
            <w:shd w:val="clear" w:color="auto" w:fill="F3F6FA"/>
          </w:tcPr>
          <w:p>
            <w:pPr>
              <w:spacing w:after="0" w:line="245" w:lineRule="auto"/>
              <w:jc w:val="left"/>
            </w:pPr>
            <w:r>
              <w:rPr>
                <w:b w:val="0"/>
                <w:i w:val="0"/>
                <w:sz w:val="16"/>
              </w:rPr>
              <w:t>Format de messages requête/réponse utilisé sur stdio, une ligne par message.</w:t>
            </w:r>
          </w:p>
        </w:tc>
      </w:tr>
      <w:tr>
        <w:trPr>
          <w:cantSplit w:val="true"/>
        </w:trPr>
        <w:tc>
          <w:tcPr>
            <w:tcW w:type="dxa" w:w="2154"/>
          </w:tcPr>
          <w:p>
            <w:pPr>
              <w:spacing w:after="0" w:line="245" w:lineRule="auto"/>
              <w:jc w:val="left"/>
            </w:pPr>
            <w:r>
              <w:rPr>
                <w:b/>
                <w:i w:val="0"/>
                <w:sz w:val="16"/>
              </w:rPr>
              <w:t>ABAC</w:t>
            </w:r>
          </w:p>
        </w:tc>
        <w:tc>
          <w:tcPr>
            <w:tcW w:type="dxa" w:w="7143"/>
          </w:tcPr>
          <w:p>
            <w:pPr>
              <w:spacing w:after="0" w:line="245" w:lineRule="auto"/>
              <w:jc w:val="left"/>
            </w:pPr>
            <w:r>
              <w:rPr>
                <w:b w:val="0"/>
                <w:i w:val="0"/>
                <w:sz w:val="16"/>
              </w:rPr>
              <w:t>Contrôle d'accès fondé sur des attributs : rôle, finalité, niveau, compartiments.</w:t>
            </w:r>
          </w:p>
        </w:tc>
      </w:tr>
      <w:tr>
        <w:trPr>
          <w:cantSplit w:val="true"/>
        </w:trPr>
        <w:tc>
          <w:tcPr>
            <w:tcW w:type="dxa" w:w="2154"/>
            <w:shd w:val="clear" w:color="auto" w:fill="F3F6FA"/>
          </w:tcPr>
          <w:p>
            <w:pPr>
              <w:spacing w:after="0" w:line="245" w:lineRule="auto"/>
              <w:jc w:val="left"/>
            </w:pPr>
            <w:r>
              <w:rPr>
                <w:b/>
                <w:i w:val="0"/>
                <w:sz w:val="16"/>
              </w:rPr>
              <w:t>Clearance</w:t>
            </w:r>
          </w:p>
        </w:tc>
        <w:tc>
          <w:tcPr>
            <w:tcW w:type="dxa" w:w="7143"/>
            <w:shd w:val="clear" w:color="auto" w:fill="F3F6FA"/>
          </w:tcPr>
          <w:p>
            <w:pPr>
              <w:spacing w:after="0" w:line="245" w:lineRule="auto"/>
              <w:jc w:val="left"/>
            </w:pPr>
            <w:r>
              <w:rPr>
                <w:b w:val="0"/>
                <w:i w:val="0"/>
                <w:sz w:val="16"/>
              </w:rPr>
              <w:t>Niveau d'habilitation du sujet : 0 Public à 3 Secret.</w:t>
            </w:r>
          </w:p>
        </w:tc>
      </w:tr>
      <w:tr>
        <w:trPr>
          <w:cantSplit w:val="true"/>
        </w:trPr>
        <w:tc>
          <w:tcPr>
            <w:tcW w:type="dxa" w:w="2154"/>
          </w:tcPr>
          <w:p>
            <w:pPr>
              <w:spacing w:after="0" w:line="245" w:lineRule="auto"/>
              <w:jc w:val="left"/>
            </w:pPr>
            <w:r>
              <w:rPr>
                <w:b/>
                <w:i w:val="0"/>
                <w:sz w:val="16"/>
              </w:rPr>
              <w:t>Compartiment</w:t>
            </w:r>
          </w:p>
        </w:tc>
        <w:tc>
          <w:tcPr>
            <w:tcW w:type="dxa" w:w="7143"/>
          </w:tcPr>
          <w:p>
            <w:pPr>
              <w:spacing w:after="0" w:line="245" w:lineRule="auto"/>
              <w:jc w:val="left"/>
            </w:pPr>
            <w:r>
              <w:rPr>
                <w:b w:val="0"/>
                <w:i w:val="0"/>
                <w:sz w:val="16"/>
              </w:rPr>
              <w:t>Besoin d'en connaître supplémentaire, indépendant du niveau.</w:t>
            </w:r>
          </w:p>
        </w:tc>
      </w:tr>
      <w:tr>
        <w:trPr>
          <w:cantSplit w:val="true"/>
        </w:trPr>
        <w:tc>
          <w:tcPr>
            <w:tcW w:type="dxa" w:w="2154"/>
            <w:shd w:val="clear" w:color="auto" w:fill="F3F6FA"/>
          </w:tcPr>
          <w:p>
            <w:pPr>
              <w:spacing w:after="0" w:line="245" w:lineRule="auto"/>
              <w:jc w:val="left"/>
            </w:pPr>
            <w:r>
              <w:rPr>
                <w:b/>
                <w:i w:val="0"/>
                <w:sz w:val="16"/>
              </w:rPr>
              <w:t>TLP</w:t>
            </w:r>
          </w:p>
        </w:tc>
        <w:tc>
          <w:tcPr>
            <w:tcW w:type="dxa" w:w="7143"/>
            <w:shd w:val="clear" w:color="auto" w:fill="F3F6FA"/>
          </w:tcPr>
          <w:p>
            <w:pPr>
              <w:spacing w:after="0" w:line="245" w:lineRule="auto"/>
              <w:jc w:val="left"/>
            </w:pPr>
            <w:r>
              <w:rPr>
                <w:b w:val="0"/>
                <w:i w:val="0"/>
                <w:sz w:val="16"/>
              </w:rPr>
              <w:t>Traffic Light Protocol : convention de diffusion CLEAR/GREEN/AMBER/RED.</w:t>
            </w:r>
          </w:p>
        </w:tc>
      </w:tr>
      <w:tr>
        <w:trPr>
          <w:cantSplit w:val="true"/>
        </w:trPr>
        <w:tc>
          <w:tcPr>
            <w:tcW w:type="dxa" w:w="2154"/>
          </w:tcPr>
          <w:p>
            <w:pPr>
              <w:spacing w:after="0" w:line="245" w:lineRule="auto"/>
              <w:jc w:val="left"/>
            </w:pPr>
            <w:r>
              <w:rPr>
                <w:b/>
                <w:i w:val="0"/>
                <w:sz w:val="16"/>
              </w:rPr>
              <w:t>Canari</w:t>
            </w:r>
          </w:p>
        </w:tc>
        <w:tc>
          <w:tcPr>
            <w:tcW w:type="dxa" w:w="7143"/>
          </w:tcPr>
          <w:p>
            <w:pPr>
              <w:spacing w:after="0" w:line="245" w:lineRule="auto"/>
              <w:jc w:val="left"/>
            </w:pPr>
            <w:r>
              <w:rPr>
                <w:b w:val="0"/>
                <w:i w:val="0"/>
                <w:sz w:val="16"/>
              </w:rPr>
              <w:t>Chaîne unique placée dans un document pour détecter une fuite.</w:t>
            </w:r>
          </w:p>
        </w:tc>
      </w:tr>
      <w:tr>
        <w:trPr>
          <w:cantSplit w:val="true"/>
        </w:trPr>
        <w:tc>
          <w:tcPr>
            <w:tcW w:type="dxa" w:w="2154"/>
            <w:shd w:val="clear" w:color="auto" w:fill="F3F6FA"/>
          </w:tcPr>
          <w:p>
            <w:pPr>
              <w:spacing w:after="0" w:line="245" w:lineRule="auto"/>
              <w:jc w:val="left"/>
            </w:pPr>
            <w:r>
              <w:rPr>
                <w:b/>
                <w:i w:val="0"/>
                <w:sz w:val="16"/>
              </w:rPr>
              <w:t>IOC</w:t>
            </w:r>
          </w:p>
        </w:tc>
        <w:tc>
          <w:tcPr>
            <w:tcW w:type="dxa" w:w="7143"/>
            <w:shd w:val="clear" w:color="auto" w:fill="F3F6FA"/>
          </w:tcPr>
          <w:p>
            <w:pPr>
              <w:spacing w:after="0" w:line="245" w:lineRule="auto"/>
              <w:jc w:val="left"/>
            </w:pPr>
            <w:r>
              <w:rPr>
                <w:b w:val="0"/>
                <w:i w:val="0"/>
                <w:sz w:val="16"/>
              </w:rPr>
              <w:t>Indicateur de compromission : adresse, domaine, hachage, etc.</w:t>
            </w:r>
          </w:p>
        </w:tc>
      </w:tr>
      <w:tr>
        <w:trPr>
          <w:cantSplit w:val="true"/>
        </w:trPr>
        <w:tc>
          <w:tcPr>
            <w:tcW w:type="dxa" w:w="2154"/>
          </w:tcPr>
          <w:p>
            <w:pPr>
              <w:spacing w:after="0" w:line="245" w:lineRule="auto"/>
              <w:jc w:val="left"/>
            </w:pPr>
            <w:r>
              <w:rPr>
                <w:b/>
                <w:i w:val="0"/>
                <w:sz w:val="16"/>
              </w:rPr>
              <w:t>EPSS</w:t>
            </w:r>
          </w:p>
        </w:tc>
        <w:tc>
          <w:tcPr>
            <w:tcW w:type="dxa" w:w="7143"/>
          </w:tcPr>
          <w:p>
            <w:pPr>
              <w:spacing w:after="0" w:line="245" w:lineRule="auto"/>
              <w:jc w:val="left"/>
            </w:pPr>
            <w:r>
              <w:rPr>
                <w:b w:val="0"/>
                <w:i w:val="0"/>
                <w:sz w:val="16"/>
              </w:rPr>
              <w:t>Probabilité qu'une vulnérabilité soit exploitée dans les 30 jours.</w:t>
            </w:r>
          </w:p>
        </w:tc>
      </w:tr>
      <w:tr>
        <w:trPr>
          <w:cantSplit w:val="true"/>
        </w:trPr>
        <w:tc>
          <w:tcPr>
            <w:tcW w:type="dxa" w:w="2154"/>
            <w:shd w:val="clear" w:color="auto" w:fill="F3F6FA"/>
          </w:tcPr>
          <w:p>
            <w:pPr>
              <w:spacing w:after="0" w:line="245" w:lineRule="auto"/>
              <w:jc w:val="left"/>
            </w:pPr>
            <w:r>
              <w:rPr>
                <w:b/>
                <w:i w:val="0"/>
                <w:sz w:val="16"/>
              </w:rPr>
              <w:t>KEV</w:t>
            </w:r>
          </w:p>
        </w:tc>
        <w:tc>
          <w:tcPr>
            <w:tcW w:type="dxa" w:w="7143"/>
            <w:shd w:val="clear" w:color="auto" w:fill="F3F6FA"/>
          </w:tcPr>
          <w:p>
            <w:pPr>
              <w:spacing w:after="0" w:line="245" w:lineRule="auto"/>
              <w:jc w:val="left"/>
            </w:pPr>
            <w:r>
              <w:rPr>
                <w:b w:val="0"/>
                <w:i w:val="0"/>
                <w:sz w:val="16"/>
              </w:rPr>
              <w:t>Catalogue des vulnérabilités connues comme exploitées (CISA).</w:t>
            </w:r>
          </w:p>
        </w:tc>
      </w:tr>
      <w:tr>
        <w:trPr>
          <w:cantSplit w:val="true"/>
        </w:trPr>
        <w:tc>
          <w:tcPr>
            <w:tcW w:type="dxa" w:w="2154"/>
          </w:tcPr>
          <w:p>
            <w:pPr>
              <w:spacing w:after="0" w:line="245" w:lineRule="auto"/>
              <w:jc w:val="left"/>
            </w:pPr>
            <w:r>
              <w:rPr>
                <w:b/>
                <w:i w:val="0"/>
                <w:sz w:val="16"/>
              </w:rPr>
              <w:t>Fail-closed</w:t>
            </w:r>
          </w:p>
        </w:tc>
        <w:tc>
          <w:tcPr>
            <w:tcW w:type="dxa" w:w="7143"/>
          </w:tcPr>
          <w:p>
            <w:pPr>
              <w:spacing w:after="0" w:line="245" w:lineRule="auto"/>
              <w:jc w:val="left"/>
            </w:pPr>
            <w:r>
              <w:rPr>
                <w:b w:val="0"/>
                <w:i w:val="0"/>
                <w:sz w:val="16"/>
              </w:rPr>
              <w:t>En cas d'échec d'un contrôle, refuser plutôt que laisser passer.</w:t>
            </w:r>
          </w:p>
        </w:tc>
      </w:tr>
      <w:tr>
        <w:trPr>
          <w:cantSplit w:val="true"/>
        </w:trPr>
        <w:tc>
          <w:tcPr>
            <w:tcW w:type="dxa" w:w="2154"/>
            <w:shd w:val="clear" w:color="auto" w:fill="F3F6FA"/>
          </w:tcPr>
          <w:p>
            <w:pPr>
              <w:spacing w:after="0" w:line="245" w:lineRule="auto"/>
              <w:jc w:val="left"/>
            </w:pPr>
            <w:r>
              <w:rPr>
                <w:b/>
                <w:i w:val="0"/>
                <w:sz w:val="16"/>
              </w:rPr>
              <w:t>Chaîne d'audit</w:t>
            </w:r>
          </w:p>
        </w:tc>
        <w:tc>
          <w:tcPr>
            <w:tcW w:type="dxa" w:w="7143"/>
            <w:shd w:val="clear" w:color="auto" w:fill="F3F6FA"/>
          </w:tcPr>
          <w:p>
            <w:pPr>
              <w:spacing w:after="0" w:line="245" w:lineRule="auto"/>
              <w:jc w:val="left"/>
            </w:pPr>
            <w:r>
              <w:rPr>
                <w:b w:val="0"/>
                <w:i w:val="0"/>
                <w:sz w:val="16"/>
              </w:rPr>
              <w:t>Journal dont chaque entrée contient l'empreinte de la précédente.</w:t>
            </w:r>
          </w:p>
        </w:tc>
      </w:tr>
      <w:tr>
        <w:trPr>
          <w:cantSplit w:val="true"/>
        </w:trPr>
        <w:tc>
          <w:tcPr>
            <w:tcW w:type="dxa" w:w="2154"/>
          </w:tcPr>
          <w:p>
            <w:pPr>
              <w:spacing w:after="0" w:line="245" w:lineRule="auto"/>
              <w:jc w:val="left"/>
            </w:pPr>
            <w:r>
              <w:rPr>
                <w:b/>
                <w:i w:val="0"/>
                <w:sz w:val="16"/>
              </w:rPr>
              <w:t>Prompt injection</w:t>
            </w:r>
          </w:p>
        </w:tc>
        <w:tc>
          <w:tcPr>
            <w:tcW w:type="dxa" w:w="7143"/>
          </w:tcPr>
          <w:p>
            <w:pPr>
              <w:spacing w:after="0" w:line="245" w:lineRule="auto"/>
              <w:jc w:val="left"/>
            </w:pPr>
            <w:r>
              <w:rPr>
                <w:b w:val="0"/>
                <w:i w:val="0"/>
                <w:sz w:val="16"/>
              </w:rPr>
              <w:t>Instruction hostile insérée dans un contenu pour détourner l'agent.</w:t>
            </w:r>
          </w:p>
        </w:tc>
      </w:tr>
    </w:tbl>
    <w:p>
      <w:pPr>
        <w:pStyle w:val="Source"/>
      </w:pPr>
      <w:r>
        <w:rPr>
          <w:rFonts w:ascii="Calibri" w:hAnsi="Calibri" w:eastAsia="Calibri"/>
          <w:i/>
          <w:color w:val="5B6577"/>
          <w:sz w:val="16"/>
        </w:rPr>
        <w:t>Source : vocabulaire du projet ; les définitions sont volontairement opérationnelles.</w:t>
      </w:r>
    </w:p>
    <w:sectPr w:rsidR="00FC693F" w:rsidRPr="0006063C" w:rsidSect="00034616">
      <w:headerReference w:type="default" r:id="rId9"/>
      <w:footerReference w:type="default" r:id="rId10"/>
      <w:headerReference w:type="first" r:id="rId11"/>
      <w:footerReference w:type="first" r:id="rId12"/>
      <w:pgSz w:w="11906" w:h="16838"/>
      <w:pgMar w:top="1134" w:right="1134" w:bottom="1020" w:left="1134" w:header="51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B6577"/>
        <w:sz w:val="17"/>
      </w:rPr>
      <w:t xml:space="preserve">Page </w:t>
    </w:r>
    <w:r>
      <w:fldChar w:fldCharType="begin"/>
    </w:r>
    <w:r>
      <w:instrText xml:space="preserve"> PAGE </w:instrText>
    </w:r>
    <w:r>
      <w:fldChar w:fldCharType="separate"/>
    </w:r>
    <w:r>
      <w:rPr>
        <w:color w:val="5B6577"/>
        <w:sz w:val="17"/>
      </w:rPr>
      <w:t>1</w:t>
    </w:r>
    <w:r>
      <w:fldChar w:fldCharType="end"/>
    </w:r>
    <w:r>
      <w:rPr>
        <w:rFonts w:ascii="Calibri" w:hAnsi="Calibri" w:eastAsia="Calibri"/>
        <w:color w:val="5B6577"/>
        <w:sz w:val="17"/>
      </w:rPr>
      <w:t xml:space="preserve"> sur </w:t>
    </w:r>
    <w:r>
      <w:fldChar w:fldCharType="begin"/>
    </w:r>
    <w:r>
      <w:instrText xml:space="preserve"> NUMPAGES </w:instrText>
    </w:r>
    <w:r>
      <w:fldChar w:fldCharType="separate"/>
    </w:r>
    <w:r>
      <w:rPr>
        <w:color w:val="5B6577"/>
        <w:sz w:val="17"/>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9D1DE"/>
      </w:pBdr>
      <w:tabs>
        <w:tab w:pos="9524" w:val="right"/>
      </w:tabs>
    </w:pPr>
    <w:r>
      <w:rPr>
        <w:rFonts w:ascii="Calibri" w:hAnsi="Calibri" w:eastAsia="Calibri"/>
        <w:color w:val="5B6577"/>
        <w:sz w:val="17"/>
      </w:rPr>
      <w:t>TEK-UP · SSIR 2026–2027</w:t>
    </w:r>
    <w:r>
      <w:rPr>
        <w:rFonts w:ascii="Calibri" w:hAnsi="Calibri" w:eastAsia="Calibri"/>
        <w:color w:val="5B6577"/>
        <w:sz w:val="17"/>
      </w:rPr>
      <w:tab/>
      <w:t>Serveur MCP de Threat Intelligence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00"/>
      <w:jc w:val="both"/>
    </w:pPr>
    <w:rPr>
      <w:rFonts w:ascii="Times New Roman" w:hAnsi="Times New Roman" w:eastAsia="Times New Roman"/>
      <w:color w:val="1B24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jc w:val="left"/>
      <w:outlineLvl w:val="0"/>
    </w:pPr>
    <w:rPr>
      <w:rFonts w:asciiTheme="majorHAnsi" w:eastAsiaTheme="majorEastAsia" w:hAnsiTheme="majorHAnsi" w:cstheme="majorBidi" w:ascii="Calibri" w:hAnsi="Calibri" w:eastAsia="Calibri"/>
      <w:b/>
      <w:bCs/>
      <w:color w:val="10243F"/>
      <w:sz w:val="34"/>
      <w:szCs w:val="28"/>
    </w:rPr>
  </w:style>
  <w:style w:type="paragraph" w:styleId="Heading2">
    <w:name w:val="heading 2"/>
    <w:basedOn w:val="Normal"/>
    <w:next w:val="Normal"/>
    <w:link w:val="Heading2Char"/>
    <w:uiPriority w:val="9"/>
    <w:unhideWhenUsed/>
    <w:qFormat/>
    <w:rsid w:val="00FC693F"/>
    <w:pPr>
      <w:keepNext/>
      <w:keepLines/>
      <w:spacing w:before="280" w:after="120" w:line="252" w:lineRule="auto"/>
      <w:jc w:val="left"/>
      <w:outlineLvl w:val="1"/>
    </w:pPr>
    <w:rPr>
      <w:rFonts w:asciiTheme="majorHAnsi" w:eastAsiaTheme="majorEastAsia" w:hAnsiTheme="majorHAnsi" w:cstheme="majorBidi" w:ascii="Calibri" w:hAnsi="Calibri" w:eastAsia="Calibri"/>
      <w:b/>
      <w:bCs/>
      <w:color w:val="2F6DB3"/>
      <w:sz w:val="28"/>
      <w:szCs w:val="26"/>
    </w:rPr>
  </w:style>
  <w:style w:type="paragraph" w:styleId="Heading3">
    <w:name w:val="heading 3"/>
    <w:basedOn w:val="Normal"/>
    <w:next w:val="Normal"/>
    <w:link w:val="Heading3Char"/>
    <w:uiPriority w:val="9"/>
    <w:unhideWhenUsed/>
    <w:qFormat/>
    <w:rsid w:val="00FC693F"/>
    <w:pPr>
      <w:keepNext/>
      <w:keepLines/>
      <w:spacing w:before="200" w:after="80" w:line="252" w:lineRule="auto"/>
      <w:jc w:val="left"/>
      <w:outlineLvl w:val="2"/>
    </w:pPr>
    <w:rPr>
      <w:rFonts w:asciiTheme="majorHAnsi" w:eastAsiaTheme="majorEastAsia" w:hAnsiTheme="majorHAnsi" w:cstheme="majorBidi" w:ascii="Calibri" w:hAnsi="Calibri" w:eastAsia="Calibri"/>
      <w:b/>
      <w:bCs/>
      <w:color w:val="1024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égende">
    <w:name w:val="Légende"/>
    <w:basedOn w:val="Normal"/>
    <w:pPr>
      <w:spacing w:before="40" w:after="40"/>
      <w:jc w:val="center"/>
    </w:pPr>
    <w:rPr>
      <w:rFonts w:ascii="Calibri" w:hAnsi="Calibri"/>
      <w:i/>
      <w:color w:val="5B6577"/>
      <w:sz w:val="18"/>
    </w:rPr>
  </w:style>
  <w:style w:type="paragraph" w:customStyle="1" w:styleId="Source">
    <w:name w:val="Source"/>
    <w:basedOn w:val="Normal"/>
    <w:pPr>
      <w:spacing w:after="200"/>
      <w:jc w:val="left"/>
    </w:pPr>
    <w:rPr>
      <w:rFonts w:ascii="Calibri" w:hAnsi="Calibri"/>
      <w:i/>
      <w:color w:val="5B6577"/>
      <w:sz w:val="16"/>
    </w:rPr>
  </w:style>
  <w:style w:type="paragraph" w:customStyle="1" w:styleId="Code">
    <w:name w:val="Code"/>
    <w:basedOn w:val="Normal"/>
    <w:pPr>
      <w:spacing w:before="60" w:after="120" w:line="252" w:lineRule="auto"/>
      <w:ind w:left="227" w:right="113"/>
      <w:jc w:val="left"/>
    </w:pPr>
    <w:rPr>
      <w:rFonts w:ascii="Consolas" w:hAnsi="Consolas" w:eastAsia="Consolas"/>
      <w:color w:val="1F2A3A"/>
      <w:sz w:val="17"/>
    </w:rPr>
  </w:style>
  <w:style w:type="paragraph" w:customStyle="1" w:styleId="Titreliminaire">
    <w:name w:val="Titre liminaire"/>
    <w:basedOn w:val="Normal"/>
    <w:pPr>
      <w:spacing w:before="80" w:after="240"/>
      <w:jc w:val="left"/>
    </w:pPr>
    <w:rPr>
      <w:rFonts w:ascii="Calibri" w:hAnsi="Calibri"/>
      <w:b/>
      <w:color w:val="10243F"/>
      <w:sz w:val="40"/>
    </w:rPr>
  </w:style>
  <w:style w:type="paragraph" w:customStyle="1" w:styleId="TOC1">
    <w:name w:val="TOC 1"/>
    <w:basedOn w:val="Normal"/>
    <w:pPr>
      <w:spacing w:after="40" w:line="240" w:lineRule="auto"/>
      <w:jc w:val="left"/>
    </w:pPr>
    <w:rPr>
      <w:rFonts w:ascii="Calibri" w:hAnsi="Calibri"/>
      <w:color w:val="1B2433"/>
      <w:sz w:val="21"/>
    </w:rPr>
  </w:style>
  <w:style w:type="paragraph" w:customStyle="1" w:styleId="TOC2">
    <w:name w:val="TOC 2"/>
    <w:basedOn w:val="Normal"/>
    <w:pPr>
      <w:spacing w:after="40" w:line="240" w:lineRule="auto"/>
      <w:jc w:val="left"/>
    </w:pPr>
    <w:rPr>
      <w:rFonts w:ascii="Calibri" w:hAnsi="Calibri"/>
      <w:color w:val="1B2433"/>
      <w:sz w:val="20"/>
    </w:rPr>
  </w:style>
  <w:style w:type="paragraph" w:customStyle="1" w:styleId="TOC3">
    <w:name w:val="TOC 3"/>
    <w:basedOn w:val="Normal"/>
    <w:pPr>
      <w:spacing w:after="40" w:line="240" w:lineRule="auto"/>
      <w:jc w:val="left"/>
    </w:pPr>
    <w:rPr>
      <w:rFonts w:ascii="Calibri" w:hAnsi="Calibri"/>
      <w:color w:val="1B243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Serveur MCP intelligent de Threat Intelligence — protection du secret</dc:title>
  <dc:subject>Projet TEK-UP SSIR — Art de protection du secret &amp; Cyber OPS</dc:subject>
  <dc:creator>Mzabi Sirine · Khaled Ellif</dc:creator>
  <cp:keywords>MCP, Threat Intelligence, ABAC, étiquetage, audit, prompt injection</cp:keywords>
  <dc:description>Rapport généré par python-docx avec champs Word réels.</dc:description>
  <cp:lastModifiedBy/>
  <cp:revision>1</cp:revision>
  <dcterms:created xsi:type="dcterms:W3CDTF">2013-12-23T23:15:00Z</dcterms:created>
  <dcterms:modified xsi:type="dcterms:W3CDTF">2013-12-23T23:15:00Z</dcterms:modified>
  <cp:category/>
</cp:coreProperties>
</file>