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3A5F"/>
          <w:sz w:val="40"/>
          <w:szCs w:val="40"/>
        </w:rPr>
        <w:t xml:space="preserve">Referral Partnership Proposal</w:t>
      </w:r>
    </w:p>
    <w:p>
      <w:pPr>
        <w:spacing w:after="160" w:line="300"/>
      </w:pPr>
      <w:r>
        <w:rPr>
          <w:rFonts w:ascii="Calibri" w:cs="Calibri" w:eastAsia="Calibri" w:hAnsi="Calibri"/>
          <w:i/>
          <w:iCs/>
          <w:color w:val="555555"/>
          <w:sz w:val="22"/>
          <w:szCs w:val="22"/>
        </w:rPr>
        <w:t xml:space="preserve">Submitted to TGA by Mirza-Zain Baig, acting as Referral Partner.</w:t>
      </w:r>
    </w:p>
    <w:p>
      <w:pPr>
        <w:spacing w:after="160" w:line="300"/>
      </w:pPr>
      <w:r>
        <w:rPr>
          <w:rFonts w:ascii="Calibri" w:cs="Calibri" w:eastAsia="Calibri" w:hAnsi="Calibri"/>
          <w:i/>
          <w:iCs/>
          <w:color w:val="555555"/>
          <w:sz w:val="22"/>
          <w:szCs w:val="22"/>
        </w:rPr>
        <w:t xml:space="preserve">Draft for discussion. September 2026.</w:t>
      </w:r>
    </w:p>
    <w:p>
      <w:pPr>
        <w:pStyle w:val="Heading1"/>
        <w:spacing w:after="120" w:before="280"/>
      </w:pPr>
      <w:r>
        <w:rPr>
          <w:rFonts w:ascii="Calibri" w:cs="Calibri" w:eastAsia="Calibri" w:hAnsi="Calibri"/>
          <w:b/>
          <w:bCs/>
          <w:color w:val="1F3A5F"/>
          <w:sz w:val="26"/>
          <w:szCs w:val="26"/>
        </w:rPr>
        <w:t xml:space="preserve">1. Purpose</w:t>
      </w:r>
    </w:p>
    <w:p>
      <w:pPr>
        <w:spacing w:after="160" w:line="300"/>
      </w:pPr>
      <w:r>
        <w:rPr>
          <w:rFonts w:ascii="Calibri" w:cs="Calibri" w:eastAsia="Calibri" w:hAnsi="Calibri"/>
          <w:sz w:val="22"/>
          <w:szCs w:val="22"/>
        </w:rPr>
        <w:t xml:space="preserve">There is a large number of Islamic and Quranic schools across the Greater Toronto Area that I know personally, or that a partner of mine knows personally, where I can communicate directly and where trust is already built. Most of these schools have no academic solution in place. They do not want to build and run a fully fledged academic school themselves. What they want is an academic program they can offset to a provider while they keep their focus on Quran and Islamic studies.</w:t>
      </w:r>
    </w:p>
    <w:p>
      <w:pPr>
        <w:spacing w:after="160" w:line="300"/>
      </w:pPr>
      <w:r>
        <w:rPr>
          <w:rFonts w:ascii="Calibri" w:cs="Calibri" w:eastAsia="Calibri" w:hAnsi="Calibri"/>
          <w:sz w:val="22"/>
          <w:szCs w:val="22"/>
        </w:rPr>
        <w:t xml:space="preserve">TGA provides that program. This proposal sets out how I would bring these schools to TGA as a Referral Partner, what I would take responsibility for, and the commercial terms I am proposing.</w:t>
      </w:r>
    </w:p>
    <w:p>
      <w:pPr>
        <w:pStyle w:val="Heading1"/>
        <w:spacing w:after="120" w:before="280"/>
      </w:pPr>
      <w:r>
        <w:rPr>
          <w:rFonts w:ascii="Calibri" w:cs="Calibri" w:eastAsia="Calibri" w:hAnsi="Calibri"/>
          <w:b/>
          <w:bCs/>
          <w:color w:val="1F3A5F"/>
          <w:sz w:val="26"/>
          <w:szCs w:val="26"/>
        </w:rPr>
        <w:t xml:space="preserve">2. Scope of My Role</w:t>
      </w:r>
    </w:p>
    <w:p>
      <w:pPr>
        <w:spacing w:after="160" w:line="300"/>
      </w:pPr>
      <w:r>
        <w:rPr>
          <w:rFonts w:ascii="Calibri" w:cs="Calibri" w:eastAsia="Calibri" w:hAnsi="Calibri"/>
          <w:sz w:val="22"/>
          <w:szCs w:val="22"/>
        </w:rPr>
        <w:t xml:space="preserve">I would be the relationship owner for every school I bring to TGA. In practice this covers the full cycle from first contact to a running account.</w:t>
      </w:r>
    </w:p>
    <w:p>
      <w:pPr>
        <w:spacing w:after="160" w:line="300"/>
      </w:pPr>
      <w:r>
        <w:rPr>
          <w:rFonts w:ascii="Calibri" w:cs="Calibri" w:eastAsia="Calibri" w:hAnsi="Calibri"/>
          <w:sz w:val="22"/>
          <w:szCs w:val="22"/>
        </w:rPr>
        <w:t xml:space="preserve">Marketing. I would market TGA's program to the schools in my network and in my partner's network, using material approved by TGA and presenting the program accurately.</w:t>
      </w:r>
    </w:p>
    <w:p>
      <w:pPr>
        <w:spacing w:after="160" w:line="300"/>
      </w:pPr>
      <w:r>
        <w:rPr>
          <w:rFonts w:ascii="Calibri" w:cs="Calibri" w:eastAsia="Calibri" w:hAnsi="Calibri"/>
          <w:sz w:val="22"/>
          <w:szCs w:val="22"/>
        </w:rPr>
        <w:t xml:space="preserve">In-person visits. I would visit each school in person, meet the administration, walk them through the program, and bring them to the point of signing. These are relationships that are built face to face, not over email.</w:t>
      </w:r>
    </w:p>
    <w:p>
      <w:pPr>
        <w:spacing w:after="160" w:line="300"/>
      </w:pPr>
      <w:r>
        <w:rPr>
          <w:rFonts w:ascii="Calibri" w:cs="Calibri" w:eastAsia="Calibri" w:hAnsi="Calibri"/>
          <w:sz w:val="22"/>
          <w:szCs w:val="22"/>
        </w:rPr>
        <w:t xml:space="preserve">Full onboarding. I would handle the onboarding of each school end to end, collecting the student list and enrolment details, setting up the school with TGA, coordinating the start date, and making sure the school's staff and parents understand how the program works.</w:t>
      </w:r>
    </w:p>
    <w:p>
      <w:pPr>
        <w:spacing w:after="160" w:line="300"/>
      </w:pPr>
      <w:r>
        <w:rPr>
          <w:rFonts w:ascii="Calibri" w:cs="Calibri" w:eastAsia="Calibri" w:hAnsi="Calibri"/>
          <w:sz w:val="22"/>
          <w:szCs w:val="22"/>
        </w:rPr>
        <w:t xml:space="preserve">Point of contact. Once a school is live, day to day questions from the school's administration come to me first. I escalate to TGA anything that requires TGA to act.</w:t>
      </w:r>
    </w:p>
    <w:p>
      <w:pPr>
        <w:spacing w:after="160" w:line="300"/>
      </w:pPr>
      <w:r>
        <w:rPr>
          <w:rFonts w:ascii="Calibri" w:cs="Calibri" w:eastAsia="Calibri" w:hAnsi="Calibri"/>
          <w:sz w:val="22"/>
          <w:szCs w:val="22"/>
        </w:rPr>
        <w:t xml:space="preserve">Responsibility for the file. I keep each school's enrolment numbers current with TGA every month, make sure the school knows which pricing tier it sits in, support renewals, and flag early any risk that a school may reduce numbers or leave.</w:t>
      </w:r>
    </w:p>
    <w:p>
      <w:pPr>
        <w:spacing w:after="160" w:line="300"/>
      </w:pPr>
      <w:r>
        <w:rPr>
          <w:rFonts w:ascii="Calibri" w:cs="Calibri" w:eastAsia="Calibri" w:hAnsi="Calibri"/>
          <w:sz w:val="22"/>
          <w:szCs w:val="22"/>
        </w:rPr>
        <w:t xml:space="preserve">TGA remains responsible for the delivery of the academic program, the platform, the teachers, the curriculum, student records, and the invoicing of the school at the agreed price.</w:t>
      </w:r>
    </w:p>
    <w:p>
      <w:pPr>
        <w:pStyle w:val="Heading1"/>
        <w:spacing w:after="120" w:before="280"/>
      </w:pPr>
      <w:r>
        <w:rPr>
          <w:rFonts w:ascii="Calibri" w:cs="Calibri" w:eastAsia="Calibri" w:hAnsi="Calibri"/>
          <w:b/>
          <w:bCs/>
          <w:color w:val="1F3A5F"/>
          <w:sz w:val="26"/>
          <w:szCs w:val="26"/>
        </w:rPr>
        <w:t xml:space="preserve">3. Pricing and Referral Fees for Schools</w:t>
      </w:r>
    </w:p>
    <w:p>
      <w:pPr>
        <w:spacing w:after="160" w:line="300"/>
      </w:pPr>
      <w:r>
        <w:rPr>
          <w:rFonts w:ascii="Calibri" w:cs="Calibri" w:eastAsia="Calibri" w:hAnsi="Calibri"/>
          <w:sz w:val="22"/>
          <w:szCs w:val="22"/>
        </w:rPr>
        <w:t xml:space="preserve">All prices below are per student, per month. The tier a school sits in is determined by the number of active enrolled students at that school on the first day of each billing month. The whole school is priced at its tier, the pricing is not marginal.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100"/>
        <w:gridCol w:w="2200"/>
        <w:gridCol w:w="2100"/>
      </w:tblGrid>
      <w:tr>
        <w:trPr>
          <w:tblHeader/>
        </w:trPr>
        <w:tc>
          <w:tcPr>
            <w:tcW w:type="dxa" w:w="700"/>
            <w:shd w:fill="E8EEF4"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Tier</w:t>
            </w:r>
          </w:p>
        </w:tc>
        <w:tc>
          <w:tcPr>
            <w:tcW w:type="dxa" w:w="2100"/>
            <w:shd w:fill="E8EEF4"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Students enrolled at the school</w:t>
            </w:r>
          </w:p>
        </w:tc>
        <w:tc>
          <w:tcPr>
            <w:tcW w:type="dxa" w:w="2100"/>
            <w:shd w:fill="E8EEF4"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Price to the school (per student, per month)</w:t>
            </w:r>
          </w:p>
        </w:tc>
        <w:tc>
          <w:tcPr>
            <w:tcW w:type="dxa" w:w="2200"/>
            <w:shd w:fill="E8EEF4"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My referral fee (per student, per month)</w:t>
            </w:r>
          </w:p>
        </w:tc>
        <w:tc>
          <w:tcPr>
            <w:tcW w:type="dxa" w:w="2100"/>
            <w:shd w:fill="E8EEF4"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Net to TGA (per student, per month)</w:t>
            </w:r>
          </w:p>
        </w:tc>
      </w:tr>
      <w:tr>
        <w:trPr>
          <w:tblHeader w:val="false"/>
        </w:trP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 to 10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$1,000</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$950</w:t>
            </w:r>
          </w:p>
        </w:tc>
      </w:tr>
      <w:tr>
        <w:trPr>
          <w:tblHeader w:val="false"/>
        </w:trP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11 to 25</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$1,000</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$125</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$875</w:t>
            </w:r>
          </w:p>
        </w:tc>
      </w:tr>
      <w:tr>
        <w:trPr>
          <w:tblHeader w:val="false"/>
        </w:trP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26 to 50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$950</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$200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$750</w:t>
            </w:r>
          </w:p>
        </w:tc>
      </w:tr>
      <w:tr>
        <w:trPr>
          <w:tblHeader w:val="false"/>
        </w:trP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51 to 200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$850</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$250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$600</w:t>
            </w:r>
          </w:p>
        </w:tc>
      </w:tr>
      <w:tr>
        <w:trPr>
          <w:tblHeader w:val="false"/>
        </w:trPr>
        <w:tc>
          <w:tcPr>
            <w:tcW w:type="dxa" w:w="7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201 and above</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$800</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$300</w:t>
            </w:r>
          </w:p>
        </w:tc>
        <w:tc>
          <w:tcPr>
            <w:tcW w:type="dxa" w:w="21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$500</w:t>
            </w:r>
          </w:p>
        </w:tc>
      </w:tr>
    </w:tbl>
    <w:p>
      <w:pPr>
        <w:spacing w:after="120"/>
      </w:pPr>
    </w:p>
    <w:p>
      <w:pPr>
        <w:spacing w:after="160" w:line="300"/>
      </w:pPr>
      <w:r>
        <w:rPr>
          <w:rFonts w:ascii="Calibri" w:cs="Calibri" w:eastAsia="Calibri" w:hAnsi="Calibri"/>
          <w:sz w:val="22"/>
          <w:szCs w:val="22"/>
        </w:rPr>
        <w:t xml:space="preserve">The listed price is the price the school pays. I would not sell above or below the listed price for the applicable tier without TGA's written agreement.</w:t>
      </w:r>
    </w:p>
    <w:p>
      <w:pPr>
        <w:spacing w:after="160" w:line="300"/>
      </w:pPr>
      <w:r>
        <w:rPr>
          <w:rFonts w:ascii="Calibri" w:cs="Calibri" w:eastAsia="Calibri" w:hAnsi="Calibri"/>
          <w:sz w:val="22"/>
          <w:szCs w:val="22"/>
        </w:rPr>
        <w:t xml:space="preserve">The referral fee is calculated on students TGA has actually invoiced and collected for that month. No referral fee is payable on a month that is refunded, waived, or unpaid. If a payment is later recovered, the referral fee on it is paid in the following cycle.</w:t>
      </w:r>
    </w:p>
    <w:p>
      <w:pPr>
        <w:spacing w:after="160" w:line="300"/>
      </w:pPr>
      <w:r>
        <w:rPr>
          <w:rFonts w:ascii="Calibri" w:cs="Calibri" w:eastAsia="Calibri" w:hAnsi="Calibri"/>
          <w:sz w:val="22"/>
          <w:szCs w:val="22"/>
        </w:rPr>
        <w:t xml:space="preserve">As a worked example, a school with 30 students sits in Tier 3. TGA invoices the school $28,500 for the month. I receive $6,000. TGA retains $22,500.</w:t>
      </w:r>
    </w:p>
    <w:p>
      <w:pPr>
        <w:pStyle w:val="Heading1"/>
        <w:spacing w:after="120" w:before="280"/>
      </w:pPr>
      <w:r>
        <w:rPr>
          <w:rFonts w:ascii="Calibri" w:cs="Calibri" w:eastAsia="Calibri" w:hAnsi="Calibri"/>
          <w:b/>
          <w:bCs/>
          <w:color w:val="1F3A5F"/>
          <w:sz w:val="26"/>
          <w:szCs w:val="26"/>
        </w:rPr>
        <w:t xml:space="preserve">4. Setup Fee</w:t>
      </w:r>
    </w:p>
    <w:p>
      <w:pPr>
        <w:spacing w:after="160" w:line="300"/>
      </w:pPr>
      <w:r>
        <w:rPr>
          <w:rFonts w:ascii="Calibri" w:cs="Calibri" w:eastAsia="Calibri" w:hAnsi="Calibri"/>
          <w:sz w:val="22"/>
          <w:szCs w:val="22"/>
        </w:rPr>
        <w:t xml:space="preserve">For the in-person visits and the onboarding work described in section 2, I would charge each school a one time setup fee. This fee is set by me, invoiced by me directly to the school, and collected by me. TGA is not a party to that fee and takes no share of it.</w:t>
      </w:r>
    </w:p>
    <w:p>
      <w:pPr>
        <w:spacing w:after="160" w:line="300"/>
      </w:pPr>
      <w:r>
        <w:rPr>
          <w:rFonts w:ascii="Calibri" w:cs="Calibri" w:eastAsia="Calibri" w:hAnsi="Calibri"/>
          <w:sz w:val="22"/>
          <w:szCs w:val="22"/>
        </w:rPr>
        <w:t xml:space="preserve">I am recording this here for full transparency. I would make clear to each school, in writing, that the setup fee is my own fee for onboarding and is separate from TGA's monthly price.</w:t>
      </w:r>
    </w:p>
    <w:p>
      <w:pPr>
        <w:pStyle w:val="Heading1"/>
        <w:spacing w:after="120" w:before="280"/>
      </w:pPr>
      <w:r>
        <w:rPr>
          <w:rFonts w:ascii="Calibri" w:cs="Calibri" w:eastAsia="Calibri" w:hAnsi="Calibri"/>
          <w:b/>
          <w:bCs/>
          <w:color w:val="1F3A5F"/>
          <w:sz w:val="26"/>
          <w:szCs w:val="26"/>
        </w:rPr>
        <w:t xml:space="preserve">5. Homeschool Referrals</w:t>
      </w:r>
    </w:p>
    <w:p>
      <w:pPr>
        <w:spacing w:after="160" w:line="300"/>
      </w:pPr>
      <w:r>
        <w:rPr>
          <w:rFonts w:ascii="Calibri" w:cs="Calibri" w:eastAsia="Calibri" w:hAnsi="Calibri"/>
          <w:sz w:val="22"/>
          <w:szCs w:val="22"/>
        </w:rPr>
        <w:t xml:space="preserve">I also have many contacts among homeschooling families across Ontario. For these families I am proposing flat terms that do not change with volume.</w:t>
      </w:r>
    </w:p>
    <w:p>
      <w:pPr>
        <w:spacing w:after="160" w:line="300"/>
      </w:pPr>
      <w:r>
        <w:rPr>
          <w:rFonts w:ascii="Calibri" w:cs="Calibri" w:eastAsia="Calibri" w:hAnsi="Calibri"/>
          <w:sz w:val="22"/>
          <w:szCs w:val="22"/>
        </w:rPr>
        <w:t xml:space="preserve">The family is charged $1,000 per student, per month. I receive a referral fee of $50 per student, per month. There is no ceiling on the number of students and no tier change at any volume.</w:t>
      </w:r>
    </w:p>
    <w:p>
      <w:pPr>
        <w:spacing w:after="160" w:line="300"/>
      </w:pPr>
      <w:r>
        <w:rPr>
          <w:rFonts w:ascii="Calibri" w:cs="Calibri" w:eastAsia="Calibri" w:hAnsi="Calibri"/>
          <w:sz w:val="22"/>
          <w:szCs w:val="22"/>
        </w:rPr>
        <w:t xml:space="preserve">Homeschool referrals would be tracked through a referral code assigned to me and entered by the family on the TGA website at signup. Every enrolment carrying my code is credited to me. For homeschool families my role is the introduction and the code, TGA handles those families directly.</w:t>
      </w:r>
    </w:p>
    <w:p>
      <w:pPr>
        <w:pStyle w:val="Heading1"/>
        <w:spacing w:after="120" w:before="280"/>
      </w:pPr>
      <w:r>
        <w:rPr>
          <w:rFonts w:ascii="Calibri" w:cs="Calibri" w:eastAsia="Calibri" w:hAnsi="Calibri"/>
          <w:b/>
          <w:bCs/>
          <w:color w:val="1F3A5F"/>
          <w:sz w:val="26"/>
          <w:szCs w:val="26"/>
        </w:rPr>
        <w:t xml:space="preserve">6. Payment of Referral Fees</w:t>
      </w:r>
    </w:p>
    <w:p>
      <w:pPr>
        <w:spacing w:after="160" w:line="300"/>
      </w:pPr>
      <w:r>
        <w:rPr>
          <w:rFonts w:ascii="Calibri" w:cs="Calibri" w:eastAsia="Calibri" w:hAnsi="Calibri"/>
          <w:sz w:val="22"/>
          <w:szCs w:val="22"/>
        </w:rPr>
        <w:t xml:space="preserve">TGA invoices each school and each homeschool family directly. TGA pays my referral fees once per month, within fifteen days of the end of the month, on all amounts collected in that month. Each payment comes with a statement listing every school and every homeschool student credited to me, the tier applied, the amount collected, and the fee calculated.</w:t>
      </w:r>
    </w:p>
    <w:p>
      <w:pPr>
        <w:spacing w:after="160" w:line="300"/>
      </w:pPr>
      <w:r>
        <w:rPr>
          <w:rFonts w:ascii="Calibri" w:cs="Calibri" w:eastAsia="Calibri" w:hAnsi="Calibri"/>
          <w:sz w:val="22"/>
          <w:szCs w:val="22"/>
        </w:rPr>
        <w:t xml:space="preserve">I invoice TGA for the amount shown on the statement and I am responsible for my own taxes, including HST where applicable.</w:t>
      </w:r>
    </w:p>
    <w:p>
      <w:pPr>
        <w:pStyle w:val="Heading1"/>
        <w:spacing w:after="120" w:before="280"/>
      </w:pPr>
      <w:r>
        <w:rPr>
          <w:rFonts w:ascii="Calibri" w:cs="Calibri" w:eastAsia="Calibri" w:hAnsi="Calibri"/>
          <w:b/>
          <w:bCs/>
          <w:color w:val="1F3A5F"/>
          <w:sz w:val="26"/>
          <w:szCs w:val="26"/>
        </w:rPr>
        <w:t xml:space="preserve">7. Term, Exclusivity, and Ending the Partnership</w:t>
      </w:r>
    </w:p>
    <w:p>
      <w:pPr>
        <w:spacing w:after="160" w:line="300"/>
      </w:pPr>
      <w:r>
        <w:rPr>
          <w:rFonts w:ascii="Calibri" w:cs="Calibri" w:eastAsia="Calibri" w:hAnsi="Calibri"/>
          <w:sz w:val="22"/>
          <w:szCs w:val="22"/>
        </w:rPr>
        <w:t xml:space="preserve">I am proposing an initial term of twelve months from signature, renewing automatically for further twelve month periods unless either side gives sixty days written notice.</w:t>
      </w:r>
    </w:p>
    <w:p>
      <w:pPr>
        <w:spacing w:after="160" w:line="300"/>
      </w:pPr>
      <w:r>
        <w:rPr>
          <w:rFonts w:ascii="Calibri" w:cs="Calibri" w:eastAsia="Calibri" w:hAnsi="Calibri"/>
          <w:sz w:val="22"/>
          <w:szCs w:val="22"/>
        </w:rPr>
        <w:t xml:space="preserve">The partnership would be non exclusive on both sides. TGA may work with other referral partners and may sell directly. I may represent other products, provided I do not represent a competing academic program to the same schools while this agreement is in force.</w:t>
      </w:r>
    </w:p>
    <w:p>
      <w:pPr>
        <w:spacing w:after="160" w:line="300"/>
      </w:pPr>
      <w:r>
        <w:rPr>
          <w:rFonts w:ascii="Calibri" w:cs="Calibri" w:eastAsia="Calibri" w:hAnsi="Calibri"/>
          <w:sz w:val="22"/>
          <w:szCs w:val="22"/>
        </w:rPr>
        <w:t xml:space="preserve">A school I introduce is credited to me for as long as that school remains an active TGA client. If the partnership ends, TGA continues to pay referral fees on schools already signed for a further twelve months from the date of termination, after which the accounts pass fully to TGA. Homeschool referral fees follow the same twelve month tail.</w:t>
      </w:r>
    </w:p>
    <w:p>
      <w:pPr>
        <w:spacing w:after="160" w:line="300"/>
      </w:pPr>
      <w:r>
        <w:rPr>
          <w:rFonts w:ascii="Calibri" w:cs="Calibri" w:eastAsia="Calibri" w:hAnsi="Calibri"/>
          <w:sz w:val="22"/>
          <w:szCs w:val="22"/>
        </w:rPr>
        <w:t xml:space="preserve">Either side may end the agreement immediately in writing if the other side materially breaches it and does not correct the breach within thirty days of being notified.</w:t>
      </w:r>
    </w:p>
    <w:p>
      <w:pPr>
        <w:pStyle w:val="Heading1"/>
        <w:spacing w:after="120" w:before="280"/>
      </w:pPr>
      <w:r>
        <w:rPr>
          <w:rFonts w:ascii="Calibri" w:cs="Calibri" w:eastAsia="Calibri" w:hAnsi="Calibri"/>
          <w:b/>
          <w:bCs/>
          <w:color w:val="1F3A5F"/>
          <w:sz w:val="26"/>
          <w:szCs w:val="26"/>
        </w:rPr>
        <w:t xml:space="preserve">8. Conduct and Standards</w:t>
      </w:r>
    </w:p>
    <w:p>
      <w:pPr>
        <w:spacing w:after="160" w:line="300"/>
      </w:pPr>
      <w:r>
        <w:rPr>
          <w:rFonts w:ascii="Calibri" w:cs="Calibri" w:eastAsia="Calibri" w:hAnsi="Calibri"/>
          <w:sz w:val="22"/>
          <w:szCs w:val="22"/>
        </w:rPr>
        <w:t xml:space="preserve">I would represent TGA accurately and would not make promises about the program, the curriculum, results, or accreditation beyond what TGA has provided in writing. Any marketing material carrying the TGA name would be approved by TGA before use.</w:t>
      </w:r>
    </w:p>
    <w:p>
      <w:pPr>
        <w:spacing w:after="160" w:line="300"/>
      </w:pPr>
      <w:r>
        <w:rPr>
          <w:rFonts w:ascii="Calibri" w:cs="Calibri" w:eastAsia="Calibri" w:hAnsi="Calibri"/>
          <w:sz w:val="22"/>
          <w:szCs w:val="22"/>
        </w:rPr>
        <w:t xml:space="preserve">I would keep confidential all information about TGA's pricing, students, schools, and operations, and would not share it beyond what is needed to serve the schools in my portfolio.</w:t>
      </w:r>
    </w:p>
    <w:p>
      <w:pPr>
        <w:spacing w:after="160" w:line="300"/>
      </w:pPr>
      <w:r>
        <w:rPr>
          <w:rFonts w:ascii="Calibri" w:cs="Calibri" w:eastAsia="Calibri" w:hAnsi="Calibri"/>
          <w:sz w:val="22"/>
          <w:szCs w:val="22"/>
        </w:rPr>
        <w:t xml:space="preserve">I would not offer any inducement, discount, or side arrangement to a school or family that is not written into this agreement.</w:t>
      </w:r>
    </w:p>
    <w:p>
      <w:pPr>
        <w:pStyle w:val="Heading1"/>
        <w:spacing w:after="120" w:before="280"/>
      </w:pPr>
      <w:r>
        <w:rPr>
          <w:rFonts w:ascii="Calibri" w:cs="Calibri" w:eastAsia="Calibri" w:hAnsi="Calibri"/>
          <w:b/>
          <w:bCs/>
          <w:color w:val="1F3A5F"/>
          <w:sz w:val="26"/>
          <w:szCs w:val="26"/>
        </w:rPr>
        <w:t xml:space="preserve">9. Reporting</w:t>
      </w:r>
    </w:p>
    <w:p>
      <w:pPr>
        <w:spacing w:after="160" w:line="300"/>
      </w:pPr>
      <w:r>
        <w:rPr>
          <w:rFonts w:ascii="Calibri" w:cs="Calibri" w:eastAsia="Calibri" w:hAnsi="Calibri"/>
          <w:sz w:val="22"/>
          <w:szCs w:val="22"/>
        </w:rPr>
        <w:t xml:space="preserve">I would provide TGA with a short monthly update on my pipeline, listing schools in discussion, expected student numbers, and expected start dates. TGA would provide me with the monthly fee statement described in section 6 and access to enrolment figures for the schools in my portfolio.</w:t>
      </w:r>
    </w:p>
    <w:p>
      <w:pPr>
        <w:pStyle w:val="Heading1"/>
        <w:spacing w:after="120" w:before="280"/>
      </w:pPr>
      <w:r>
        <w:rPr>
          <w:rFonts w:ascii="Calibri" w:cs="Calibri" w:eastAsia="Calibri" w:hAnsi="Calibri"/>
          <w:b/>
          <w:bCs/>
          <w:color w:val="1F3A5F"/>
          <w:sz w:val="26"/>
          <w:szCs w:val="26"/>
        </w:rPr>
        <w:t xml:space="preserve">10. Next Steps</w:t>
      </w:r>
    </w:p>
    <w:p>
      <w:pPr>
        <w:spacing w:after="160" w:line="300"/>
      </w:pPr>
      <w:r>
        <w:rPr>
          <w:rFonts w:ascii="Calibri" w:cs="Calibri" w:eastAsia="Calibri" w:hAnsi="Calibri"/>
          <w:sz w:val="22"/>
          <w:szCs w:val="22"/>
        </w:rPr>
        <w:t xml:space="preserve">If these terms are acceptable in principle, I propose a short call to confirm the open points, after which the formal referral agreement can be prepared for signature.</w:t>
      </w:r>
    </w:p>
    <w:p>
      <w:pPr>
        <w:spacing w:after="160" w:line="300"/>
      </w:pPr>
      <w:r>
        <w:rPr>
          <w:rFonts w:ascii="Calibri" w:cs="Calibri" w:eastAsia="Calibri" w:hAnsi="Calibri"/>
          <w:sz w:val="22"/>
          <w:szCs w:val="22"/>
        </w:rPr>
        <w:t xml:space="preserve">Points to confirm before the formal agreement is drafted: the referral code to be assigned to me, the onboarding process and materials TGA will provide, the target list of schools for the first ninety days, and the launch date.</w:t>
      </w:r>
    </w:p>
    <w:p>
      <w:pPr>
        <w:pBdr>
          <w:top w:val="single" w:color="999999" w:sz="6" w:space="8"/>
        </w:pBdr>
        <w:spacing w:before="360"/>
      </w:pPr>
      <w:r>
        <w:rPr>
          <w:rFonts w:ascii="Calibri" w:cs="Calibri" w:eastAsia="Calibri" w:hAnsi="Calibri"/>
          <w:i/>
          <w:iCs/>
          <w:color w:val="555555"/>
          <w:sz w:val="18"/>
          <w:szCs w:val="18"/>
        </w:rPr>
        <w:t xml:space="preserve">Submitted by Mirza-Zain Baig, Referral Partner. This document is a draft proposal for discussion and does not create a binding agreement. Terms are subject to the formal referral agreement to be signed by both parties.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2026-09-12T17:45:49.010Z</dcterms:created>
  <dcterms:modified xsi:type="dcterms:W3CDTF">2026-09-12T17:45:49.010Z</dcterms:modified>
</cp:coreProperties>
</file>

<file path=docProps/custom.xml><?xml version="1.0" encoding="utf-8"?>
<Properties xmlns="http://schemas.openxmlformats.org/officeDocument/2006/custom-properties" xmlns:vt="http://schemas.openxmlformats.org/officeDocument/2006/docPropsVTypes"/>
</file>