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color w:val="1F3A5F"/>
          <w:sz w:val="40"/>
          <w:szCs w:val="40"/>
        </w:rPr>
        <w:t xml:space="preserve">TGA Referral Partnership Proposal</w:t>
      </w:r>
    </w:p>
    <w:p>
      <w:pPr>
        <w:spacing w:after="160" w:line="300"/>
      </w:pPr>
      <w:r>
        <w:rPr>
          <w:rFonts w:ascii="Calibri" w:cs="Calibri" w:eastAsia="Calibri" w:hAnsi="Calibri"/>
          <w:i/>
          <w:iCs/>
          <w:color w:val="555555"/>
          <w:sz w:val="22"/>
          <w:szCs w:val="22"/>
        </w:rPr>
        <w:t xml:space="preserve">Draft for discussion. Prepared September 2026.</w:t>
      </w:r>
    </w:p>
    <w:p>
      <w:pPr>
        <w:spacing w:after="160" w:line="300"/>
      </w:pPr>
      <w:r>
        <w:rPr>
          <w:rFonts w:ascii="Calibri" w:cs="Calibri" w:eastAsia="Calibri" w:hAnsi="Calibri"/>
          <w:i/>
          <w:iCs/>
          <w:color w:val="555555"/>
          <w:sz w:val="22"/>
          <w:szCs w:val="22"/>
        </w:rPr>
        <w:t xml:space="preserve">Between TGA (the Company) and [Partner Name] (the Referral Partner).</w:t>
      </w:r>
    </w:p>
    <w:p>
      <w:pPr>
        <w:pStyle w:val="Heading1"/>
        <w:spacing w:after="120" w:before="280"/>
      </w:pPr>
      <w:r>
        <w:rPr>
          <w:rFonts w:ascii="Calibri" w:cs="Calibri" w:eastAsia="Calibri" w:hAnsi="Calibri"/>
          <w:b/>
          <w:bCs/>
          <w:color w:val="1F3A5F"/>
          <w:sz w:val="26"/>
          <w:szCs w:val="26"/>
        </w:rPr>
        <w:t xml:space="preserve">1. Purpose</w:t>
      </w:r>
    </w:p>
    <w:p>
      <w:pPr>
        <w:spacing w:after="160" w:line="300"/>
      </w:pPr>
      <w:r>
        <w:rPr>
          <w:rFonts w:ascii="Calibri" w:cs="Calibri" w:eastAsia="Calibri" w:hAnsi="Calibri"/>
          <w:sz w:val="22"/>
          <w:szCs w:val="22"/>
        </w:rPr>
        <w:t xml:space="preserve">There is a large number of Islamic and Quranic schools across the Greater Toronto Area that the Referral Partner, or a person the Referral Partner works with, knows personally, can reach directly, and has already built trust with. Most of these schools have no academic solution in place. They do not want to build and run a fully fledged academic school themselves. What they want is an academic program they can offset to a provider while they keep their focus on Quran and Islamic studies.</w:t>
      </w:r>
    </w:p>
    <w:p>
      <w:pPr>
        <w:spacing w:after="160" w:line="300"/>
      </w:pPr>
      <w:r>
        <w:rPr>
          <w:rFonts w:ascii="Calibri" w:cs="Calibri" w:eastAsia="Calibri" w:hAnsi="Calibri"/>
          <w:sz w:val="22"/>
          <w:szCs w:val="22"/>
        </w:rPr>
        <w:t xml:space="preserve">TGA provides that academic program. This proposal sets out how the Referral Partner would bring these schools to TGA, what the Referral Partner would be responsible for, and how the Referral Partner would be compensated.</w:t>
      </w:r>
    </w:p>
    <w:p>
      <w:pPr>
        <w:pStyle w:val="Heading1"/>
        <w:spacing w:after="120" w:before="280"/>
      </w:pPr>
      <w:r>
        <w:rPr>
          <w:rFonts w:ascii="Calibri" w:cs="Calibri" w:eastAsia="Calibri" w:hAnsi="Calibri"/>
          <w:b/>
          <w:bCs/>
          <w:color w:val="1F3A5F"/>
          <w:sz w:val="26"/>
          <w:szCs w:val="26"/>
        </w:rPr>
        <w:t xml:space="preserve">2. Role of the Referral Partner</w:t>
      </w:r>
    </w:p>
    <w:p>
      <w:pPr>
        <w:spacing w:after="160" w:line="300"/>
      </w:pPr>
      <w:r>
        <w:rPr>
          <w:rFonts w:ascii="Calibri" w:cs="Calibri" w:eastAsia="Calibri" w:hAnsi="Calibri"/>
          <w:sz w:val="22"/>
          <w:szCs w:val="22"/>
        </w:rPr>
        <w:t xml:space="preserve">The Referral Partner is the relationship owner for every school they bring in. This means three things.</w:t>
      </w:r>
    </w:p>
    <w:p>
      <w:pPr>
        <w:spacing w:after="160" w:line="300"/>
      </w:pPr>
      <w:r>
        <w:rPr>
          <w:rFonts w:ascii="Calibri" w:cs="Calibri" w:eastAsia="Calibri" w:hAnsi="Calibri"/>
          <w:sz w:val="22"/>
          <w:szCs w:val="22"/>
        </w:rPr>
        <w:t xml:space="preserve">First, the Referral Partner creates the relationship. They identify the school, make the introduction, present TGA's program, and bring the school to the point of signing.</w:t>
      </w:r>
    </w:p>
    <w:p>
      <w:pPr>
        <w:spacing w:after="160" w:line="300"/>
      </w:pPr>
      <w:r>
        <w:rPr>
          <w:rFonts w:ascii="Calibri" w:cs="Calibri" w:eastAsia="Calibri" w:hAnsi="Calibri"/>
          <w:sz w:val="22"/>
          <w:szCs w:val="22"/>
        </w:rPr>
        <w:t xml:space="preserve">Second, the Referral Partner is the school's point of contact. Day to day questions from the school's administration go to the Referral Partner first. The Referral Partner escalates to TGA anything that requires TGA to act.</w:t>
      </w:r>
    </w:p>
    <w:p>
      <w:pPr>
        <w:spacing w:after="160" w:line="300"/>
      </w:pPr>
      <w:r>
        <w:rPr>
          <w:rFonts w:ascii="Calibri" w:cs="Calibri" w:eastAsia="Calibri" w:hAnsi="Calibri"/>
          <w:sz w:val="22"/>
          <w:szCs w:val="22"/>
        </w:rPr>
        <w:t xml:space="preserve">Third, the Referral Partner is responsible for the file. This includes keeping the school's enrolment numbers current with TGA each month, ensuring the school understands the pricing tier it sits in, supporting onboarding and renewals, and flagging early any risk that a school may reduce numbers or leave.</w:t>
      </w:r>
    </w:p>
    <w:p>
      <w:pPr>
        <w:spacing w:after="160" w:line="300"/>
      </w:pPr>
      <w:r>
        <w:rPr>
          <w:rFonts w:ascii="Calibri" w:cs="Calibri" w:eastAsia="Calibri" w:hAnsi="Calibri"/>
          <w:sz w:val="22"/>
          <w:szCs w:val="22"/>
        </w:rPr>
        <w:t xml:space="preserve">TGA remains responsible for the delivery of the academic program itself, the platform, the teachers, the curriculum, student records, and the invoicing of the school at the agreed price.</w:t>
      </w:r>
    </w:p>
    <w:p>
      <w:pPr>
        <w:pStyle w:val="Heading1"/>
        <w:spacing w:after="120" w:before="280"/>
      </w:pPr>
      <w:r>
        <w:rPr>
          <w:rFonts w:ascii="Calibri" w:cs="Calibri" w:eastAsia="Calibri" w:hAnsi="Calibri"/>
          <w:b/>
          <w:bCs/>
          <w:color w:val="1F3A5F"/>
          <w:sz w:val="26"/>
          <w:szCs w:val="26"/>
        </w:rPr>
        <w:t xml:space="preserve">3. Pricing and Referral Fees for Schools</w:t>
      </w:r>
    </w:p>
    <w:p>
      <w:pPr>
        <w:spacing w:after="160" w:line="300"/>
      </w:pPr>
      <w:r>
        <w:rPr>
          <w:rFonts w:ascii="Calibri" w:cs="Calibri" w:eastAsia="Calibri" w:hAnsi="Calibri"/>
          <w:sz w:val="22"/>
          <w:szCs w:val="22"/>
        </w:rPr>
        <w:t xml:space="preserve">All prices below are per student, per month. The tier a school sits in is determined by the number of active enrolled students at that school on the first day of each billing month. The whole school is priced at its tier, the pricing is not marginal.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100"/>
        <w:gridCol w:w="2200"/>
        <w:gridCol w:w="2100"/>
      </w:tblGrid>
      <w:tr>
        <w:trPr>
          <w:tblHeader/>
        </w:trPr>
        <w:tc>
          <w:tcPr>
            <w:tcW w:type="dxa" w:w="700"/>
            <w:shd w:fill="E8EEF4" w:color="auto" w:val="clear"/>
            <w:tcMar>
              <w:top w:type="dxa" w:w="80"/>
              <w:left w:type="dxa" w:w="100"/>
              <w:bottom w:type="dxa" w:w="80"/>
              <w:right w:type="dxa" w:w="100"/>
            </w:tcMar>
          </w:tcPr>
          <w:p>
            <w:pPr>
              <w:jc w:val="center"/>
            </w:pPr>
            <w:r>
              <w:rPr>
                <w:rFonts w:ascii="Calibri" w:cs="Calibri" w:eastAsia="Calibri" w:hAnsi="Calibri"/>
                <w:b/>
                <w:bCs/>
                <w:sz w:val="20"/>
                <w:szCs w:val="20"/>
              </w:rPr>
              <w:t xml:space="preserve">Tier</w:t>
            </w:r>
          </w:p>
        </w:tc>
        <w:tc>
          <w:tcPr>
            <w:tcW w:type="dxa" w:w="2100"/>
            <w:shd w:fill="E8EEF4" w:color="auto" w:val="clear"/>
            <w:tcMar>
              <w:top w:type="dxa" w:w="80"/>
              <w:left w:type="dxa" w:w="100"/>
              <w:bottom w:type="dxa" w:w="80"/>
              <w:right w:type="dxa" w:w="100"/>
            </w:tcMar>
          </w:tcPr>
          <w:p>
            <w:pPr>
              <w:jc w:val="left"/>
            </w:pPr>
            <w:r>
              <w:rPr>
                <w:rFonts w:ascii="Calibri" w:cs="Calibri" w:eastAsia="Calibri" w:hAnsi="Calibri"/>
                <w:b/>
                <w:bCs/>
                <w:sz w:val="20"/>
                <w:szCs w:val="20"/>
              </w:rPr>
              <w:t xml:space="preserve">Students enrolled at the school</w:t>
            </w:r>
          </w:p>
        </w:tc>
        <w:tc>
          <w:tcPr>
            <w:tcW w:type="dxa" w:w="2100"/>
            <w:shd w:fill="E8EEF4" w:color="auto" w:val="clear"/>
            <w:tcMar>
              <w:top w:type="dxa" w:w="80"/>
              <w:left w:type="dxa" w:w="100"/>
              <w:bottom w:type="dxa" w:w="80"/>
              <w:right w:type="dxa" w:w="100"/>
            </w:tcMar>
          </w:tcPr>
          <w:p>
            <w:pPr>
              <w:jc w:val="center"/>
            </w:pPr>
            <w:r>
              <w:rPr>
                <w:rFonts w:ascii="Calibri" w:cs="Calibri" w:eastAsia="Calibri" w:hAnsi="Calibri"/>
                <w:b/>
                <w:bCs/>
                <w:sz w:val="20"/>
                <w:szCs w:val="20"/>
              </w:rPr>
              <w:t xml:space="preserve">Price to the school (per student, per month)</w:t>
            </w:r>
          </w:p>
        </w:tc>
        <w:tc>
          <w:tcPr>
            <w:tcW w:type="dxa" w:w="2200"/>
            <w:shd w:fill="E8EEF4" w:color="auto" w:val="clear"/>
            <w:tcMar>
              <w:top w:type="dxa" w:w="80"/>
              <w:left w:type="dxa" w:w="100"/>
              <w:bottom w:type="dxa" w:w="80"/>
              <w:right w:type="dxa" w:w="100"/>
            </w:tcMar>
          </w:tcPr>
          <w:p>
            <w:pPr>
              <w:jc w:val="center"/>
            </w:pPr>
            <w:r>
              <w:rPr>
                <w:rFonts w:ascii="Calibri" w:cs="Calibri" w:eastAsia="Calibri" w:hAnsi="Calibri"/>
                <w:b/>
                <w:bCs/>
                <w:sz w:val="20"/>
                <w:szCs w:val="20"/>
              </w:rPr>
              <w:t xml:space="preserve">Referral fee to the Partner (per student, per month)</w:t>
            </w:r>
          </w:p>
        </w:tc>
        <w:tc>
          <w:tcPr>
            <w:tcW w:type="dxa" w:w="2100"/>
            <w:shd w:fill="E8EEF4" w:color="auto" w:val="clear"/>
            <w:tcMar>
              <w:top w:type="dxa" w:w="80"/>
              <w:left w:type="dxa" w:w="100"/>
              <w:bottom w:type="dxa" w:w="80"/>
              <w:right w:type="dxa" w:w="100"/>
            </w:tcMar>
          </w:tcPr>
          <w:p>
            <w:pPr>
              <w:jc w:val="center"/>
            </w:pPr>
            <w:r>
              <w:rPr>
                <w:rFonts w:ascii="Calibri" w:cs="Calibri" w:eastAsia="Calibri" w:hAnsi="Calibri"/>
                <w:b/>
                <w:bCs/>
                <w:sz w:val="20"/>
                <w:szCs w:val="20"/>
              </w:rPr>
              <w:t xml:space="preserve">Net to TGA (per student, per month)</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1</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1 to 10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$1,000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$50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$950</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2</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11 to 25</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$1,000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$125</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$875</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3</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26 to 50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$950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$200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$750</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4</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51 to 200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$850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$250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$600</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5</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201 and above</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$800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$300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$500</w:t>
            </w:r>
          </w:p>
        </w:tc>
      </w:tr>
    </w:tbl>
    <w:p>
      <w:pPr>
        <w:spacing w:after="120"/>
      </w:pPr>
    </w:p>
    <w:p>
      <w:pPr>
        <w:spacing w:after="160" w:line="300"/>
      </w:pPr>
      <w:r>
        <w:rPr>
          <w:rFonts w:ascii="Calibri" w:cs="Calibri" w:eastAsia="Calibri" w:hAnsi="Calibri"/>
          <w:sz w:val="22"/>
          <w:szCs w:val="22"/>
        </w:rPr>
        <w:t xml:space="preserve">The listed price is the price the school pays. The Referral Partner does not sell above or below the listed price for the applicable tier without TGA's written agreement.</w:t>
      </w:r>
    </w:p>
    <w:p>
      <w:pPr>
        <w:spacing w:after="160" w:line="300"/>
      </w:pPr>
      <w:r>
        <w:rPr>
          <w:rFonts w:ascii="Calibri" w:cs="Calibri" w:eastAsia="Calibri" w:hAnsi="Calibri"/>
          <w:sz w:val="22"/>
          <w:szCs w:val="22"/>
        </w:rPr>
        <w:t xml:space="preserve">The referral fee is calculated on students TGA has actually invoiced and collected for that month. No referral fee is payable on a month that is refunded, waived, or unpaid. If a payment is later recovered, the referral fee on it is paid in the following cycle.</w:t>
      </w:r>
    </w:p>
    <w:p>
      <w:pPr>
        <w:spacing w:after="160" w:line="300"/>
      </w:pPr>
      <w:r>
        <w:rPr>
          <w:rFonts w:ascii="Calibri" w:cs="Calibri" w:eastAsia="Calibri" w:hAnsi="Calibri"/>
          <w:sz w:val="22"/>
          <w:szCs w:val="22"/>
        </w:rPr>
        <w:t xml:space="preserve">As a worked example, a school with 30 students sits in Tier 3. TGA invoices the school $28,500 for the month. The Referral Partner receives $6,000. TGA retains $22,500.</w:t>
      </w:r>
    </w:p>
    <w:p>
      <w:pPr>
        <w:pStyle w:val="Heading1"/>
        <w:spacing w:after="120" w:before="280"/>
      </w:pPr>
      <w:r>
        <w:rPr>
          <w:rFonts w:ascii="Calibri" w:cs="Calibri" w:eastAsia="Calibri" w:hAnsi="Calibri"/>
          <w:b/>
          <w:bCs/>
          <w:color w:val="1F3A5F"/>
          <w:sz w:val="26"/>
          <w:szCs w:val="26"/>
        </w:rPr>
        <w:t xml:space="preserve">4. Setup Fee</w:t>
      </w:r>
    </w:p>
    <w:p>
      <w:pPr>
        <w:spacing w:after="160" w:line="300"/>
      </w:pPr>
      <w:r>
        <w:rPr>
          <w:rFonts w:ascii="Calibri" w:cs="Calibri" w:eastAsia="Calibri" w:hAnsi="Calibri"/>
          <w:sz w:val="22"/>
          <w:szCs w:val="22"/>
        </w:rPr>
        <w:t xml:space="preserve">The Referral Partner may charge each school a one time setup fee for the onboarding work they perform. This fee is set by the Referral Partner, invoiced by the Referral Partner directly to the school, and collected by the Referral Partner. TGA is not a party to that fee and takes no share of it.</w:t>
      </w:r>
    </w:p>
    <w:p>
      <w:pPr>
        <w:spacing w:after="160" w:line="300"/>
      </w:pPr>
      <w:r>
        <w:rPr>
          <w:rFonts w:ascii="Calibri" w:cs="Calibri" w:eastAsia="Calibri" w:hAnsi="Calibri"/>
          <w:sz w:val="22"/>
          <w:szCs w:val="22"/>
        </w:rPr>
        <w:t xml:space="preserve">This is recorded here for transparency only. The Referral Partner will make clear to each school, in writing, that the setup fee is the Referral Partner's own fee and is separate from TGA's monthly price.</w:t>
      </w:r>
    </w:p>
    <w:p>
      <w:pPr>
        <w:pStyle w:val="Heading1"/>
        <w:spacing w:after="120" w:before="280"/>
      </w:pPr>
      <w:r>
        <w:rPr>
          <w:rFonts w:ascii="Calibri" w:cs="Calibri" w:eastAsia="Calibri" w:hAnsi="Calibri"/>
          <w:b/>
          <w:bCs/>
          <w:color w:val="1F3A5F"/>
          <w:sz w:val="26"/>
          <w:szCs w:val="26"/>
        </w:rPr>
        <w:t xml:space="preserve">5. Homeschool Referrals</w:t>
      </w:r>
    </w:p>
    <w:p>
      <w:pPr>
        <w:spacing w:after="160" w:line="300"/>
      </w:pPr>
      <w:r>
        <w:rPr>
          <w:rFonts w:ascii="Calibri" w:cs="Calibri" w:eastAsia="Calibri" w:hAnsi="Calibri"/>
          <w:sz w:val="22"/>
          <w:szCs w:val="22"/>
        </w:rPr>
        <w:t xml:space="preserve">The Referral Partner also has contacts among homeschooling families across Ontario. For these families the terms are flat and do not change with volume.</w:t>
      </w:r>
    </w:p>
    <w:p>
      <w:pPr>
        <w:spacing w:after="160" w:line="300"/>
      </w:pPr>
      <w:r>
        <w:rPr>
          <w:rFonts w:ascii="Calibri" w:cs="Calibri" w:eastAsia="Calibri" w:hAnsi="Calibri"/>
          <w:sz w:val="22"/>
          <w:szCs w:val="22"/>
        </w:rPr>
        <w:t xml:space="preserve">The family is charged $1,000 per student, per month. The Referral Partner receives a referral fee of $50 per student, per month. There is no ceiling on the number of students and no tier change at any volume.</w:t>
      </w:r>
    </w:p>
    <w:p>
      <w:pPr>
        <w:spacing w:after="160" w:line="300"/>
      </w:pPr>
      <w:r>
        <w:rPr>
          <w:rFonts w:ascii="Calibri" w:cs="Calibri" w:eastAsia="Calibri" w:hAnsi="Calibri"/>
          <w:sz w:val="22"/>
          <w:szCs w:val="22"/>
        </w:rPr>
        <w:t xml:space="preserve">Homeschool referrals are tracked through a referral code assigned to the Referral Partner and entered by the family on the TGA website at signup. Only enrolments carrying the Referral Partner's code are credited to the Referral Partner. The Referral Partner is not the point of contact for homeschool families in the way they are for schools, TGA handles those families directly, the Referral Partner's role is the introduction and the code.</w:t>
      </w:r>
    </w:p>
    <w:p>
      <w:pPr>
        <w:pStyle w:val="Heading1"/>
        <w:spacing w:after="120" w:before="280"/>
      </w:pPr>
      <w:r>
        <w:rPr>
          <w:rFonts w:ascii="Calibri" w:cs="Calibri" w:eastAsia="Calibri" w:hAnsi="Calibri"/>
          <w:b/>
          <w:bCs/>
          <w:color w:val="1F3A5F"/>
          <w:sz w:val="26"/>
          <w:szCs w:val="26"/>
        </w:rPr>
        <w:t xml:space="preserve">6. Payment of Referral Fees</w:t>
      </w:r>
    </w:p>
    <w:p>
      <w:pPr>
        <w:spacing w:after="160" w:line="300"/>
      </w:pPr>
      <w:r>
        <w:rPr>
          <w:rFonts w:ascii="Calibri" w:cs="Calibri" w:eastAsia="Calibri" w:hAnsi="Calibri"/>
          <w:sz w:val="22"/>
          <w:szCs w:val="22"/>
        </w:rPr>
        <w:t xml:space="preserve">TGA invoices each school and each homeschool family directly. TGA pays the Referral Partner their referral fees once per month, within fifteen days of the end of the month, on all amounts collected in that month. Each payment comes with a statement listing every school and every homeschool student credited to the Referral Partner, the tier applied, the amount collected, and the fee calculated.</w:t>
      </w:r>
    </w:p>
    <w:p>
      <w:pPr>
        <w:spacing w:after="160" w:line="300"/>
      </w:pPr>
      <w:r>
        <w:rPr>
          <w:rFonts w:ascii="Calibri" w:cs="Calibri" w:eastAsia="Calibri" w:hAnsi="Calibri"/>
          <w:sz w:val="22"/>
          <w:szCs w:val="22"/>
        </w:rPr>
        <w:t xml:space="preserve">The Referral Partner invoices TGA for the amount shown on the statement. The Referral Partner is responsible for their own taxes and for registering and charging HST where required.</w:t>
      </w:r>
    </w:p>
    <w:p>
      <w:pPr>
        <w:pStyle w:val="Heading1"/>
        <w:spacing w:after="120" w:before="280"/>
      </w:pPr>
      <w:r>
        <w:rPr>
          <w:rFonts w:ascii="Calibri" w:cs="Calibri" w:eastAsia="Calibri" w:hAnsi="Calibri"/>
          <w:b/>
          <w:bCs/>
          <w:color w:val="1F3A5F"/>
          <w:sz w:val="26"/>
          <w:szCs w:val="26"/>
        </w:rPr>
        <w:t xml:space="preserve">7. Term, Exclusivity, and Ending the Partnership</w:t>
      </w:r>
    </w:p>
    <w:p>
      <w:pPr>
        <w:spacing w:after="160" w:line="300"/>
      </w:pPr>
      <w:r>
        <w:rPr>
          <w:rFonts w:ascii="Calibri" w:cs="Calibri" w:eastAsia="Calibri" w:hAnsi="Calibri"/>
          <w:sz w:val="22"/>
          <w:szCs w:val="22"/>
        </w:rPr>
        <w:t xml:space="preserve">This partnership runs for an initial term of twelve months from signature and renews automatically for further twelve month periods unless either side gives sixty days written notice.</w:t>
      </w:r>
    </w:p>
    <w:p>
      <w:pPr>
        <w:spacing w:after="160" w:line="300"/>
      </w:pPr>
      <w:r>
        <w:rPr>
          <w:rFonts w:ascii="Calibri" w:cs="Calibri" w:eastAsia="Calibri" w:hAnsi="Calibri"/>
          <w:sz w:val="22"/>
          <w:szCs w:val="22"/>
        </w:rPr>
        <w:t xml:space="preserve">The partnership is non exclusive on both sides. TGA may work with other referral partners and may sell directly. The Referral Partner may represent other products, provided they do not represent a competing academic program to the same schools while this agreement is in force.</w:t>
      </w:r>
    </w:p>
    <w:p>
      <w:pPr>
        <w:spacing w:after="160" w:line="300"/>
      </w:pPr>
      <w:r>
        <w:rPr>
          <w:rFonts w:ascii="Calibri" w:cs="Calibri" w:eastAsia="Calibri" w:hAnsi="Calibri"/>
          <w:sz w:val="22"/>
          <w:szCs w:val="22"/>
        </w:rPr>
        <w:t xml:space="preserve">A school introduced by the Referral Partner is credited to the Referral Partner for as long as that school remains an active TGA client and the Referral Partner remains its point of contact. If the partnership ends, TGA continues to pay referral fees on schools already signed for a further twelve months from the date of termination, after which the accounts pass fully to TGA. Homeschool referral fees follow the same twelve month tail.</w:t>
      </w:r>
    </w:p>
    <w:p>
      <w:pPr>
        <w:spacing w:after="160" w:line="300"/>
      </w:pPr>
      <w:r>
        <w:rPr>
          <w:rFonts w:ascii="Calibri" w:cs="Calibri" w:eastAsia="Calibri" w:hAnsi="Calibri"/>
          <w:sz w:val="22"/>
          <w:szCs w:val="22"/>
        </w:rPr>
        <w:t xml:space="preserve">Either side may end the agreement immediately in writing if the other side materially breaches it and does not correct the breach within thirty days of being notified.</w:t>
      </w:r>
    </w:p>
    <w:p>
      <w:pPr>
        <w:pStyle w:val="Heading1"/>
        <w:spacing w:after="120" w:before="280"/>
      </w:pPr>
      <w:r>
        <w:rPr>
          <w:rFonts w:ascii="Calibri" w:cs="Calibri" w:eastAsia="Calibri" w:hAnsi="Calibri"/>
          <w:b/>
          <w:bCs/>
          <w:color w:val="1F3A5F"/>
          <w:sz w:val="26"/>
          <w:szCs w:val="26"/>
        </w:rPr>
        <w:t xml:space="preserve">8. Conduct and Standards</w:t>
      </w:r>
    </w:p>
    <w:p>
      <w:pPr>
        <w:spacing w:after="160" w:line="300"/>
      </w:pPr>
      <w:r>
        <w:rPr>
          <w:rFonts w:ascii="Calibri" w:cs="Calibri" w:eastAsia="Calibri" w:hAnsi="Calibri"/>
          <w:sz w:val="22"/>
          <w:szCs w:val="22"/>
        </w:rPr>
        <w:t xml:space="preserve">The Referral Partner represents TGA accurately. They do not make promises about the program, the curriculum, results, or accreditation beyond what TGA has provided in writing. All marketing material carrying the TGA name is approved by TGA before use.</w:t>
      </w:r>
    </w:p>
    <w:p>
      <w:pPr>
        <w:spacing w:after="160" w:line="300"/>
      </w:pPr>
      <w:r>
        <w:rPr>
          <w:rFonts w:ascii="Calibri" w:cs="Calibri" w:eastAsia="Calibri" w:hAnsi="Calibri"/>
          <w:sz w:val="22"/>
          <w:szCs w:val="22"/>
        </w:rPr>
        <w:t xml:space="preserve">The Referral Partner keeps confidential all information about TGA's pricing, students, schools, and operations, and does not share it beyond what is needed to serve the schools in their portfolio.</w:t>
      </w:r>
    </w:p>
    <w:p>
      <w:pPr>
        <w:spacing w:after="160" w:line="300"/>
      </w:pPr>
      <w:r>
        <w:rPr>
          <w:rFonts w:ascii="Calibri" w:cs="Calibri" w:eastAsia="Calibri" w:hAnsi="Calibri"/>
          <w:sz w:val="22"/>
          <w:szCs w:val="22"/>
        </w:rPr>
        <w:t xml:space="preserve">The Referral Partner does not offer any inducement, discount, or side arrangement to a school or family that is not written into this agreement.</w:t>
      </w:r>
    </w:p>
    <w:p>
      <w:pPr>
        <w:spacing w:after="160" w:line="300"/>
      </w:pPr>
      <w:r>
        <w:rPr>
          <w:rFonts w:ascii="Calibri" w:cs="Calibri" w:eastAsia="Calibri" w:hAnsi="Calibri"/>
          <w:sz w:val="22"/>
          <w:szCs w:val="22"/>
        </w:rPr>
        <w:t xml:space="preserve">Referral fees are earned on genuine third party enrolments. No referral fee is payable on students enrolled by an institution the Referral Partner owns or controls unless TGA agrees to it in writing in advance.</w:t>
      </w:r>
    </w:p>
    <w:p>
      <w:pPr>
        <w:pStyle w:val="Heading1"/>
        <w:spacing w:after="120" w:before="280"/>
      </w:pPr>
      <w:r>
        <w:rPr>
          <w:rFonts w:ascii="Calibri" w:cs="Calibri" w:eastAsia="Calibri" w:hAnsi="Calibri"/>
          <w:b/>
          <w:bCs/>
          <w:color w:val="1F3A5F"/>
          <w:sz w:val="26"/>
          <w:szCs w:val="26"/>
        </w:rPr>
        <w:t xml:space="preserve">9. Reporting</w:t>
      </w:r>
    </w:p>
    <w:p>
      <w:pPr>
        <w:spacing w:after="160" w:line="300"/>
      </w:pPr>
      <w:r>
        <w:rPr>
          <w:rFonts w:ascii="Calibri" w:cs="Calibri" w:eastAsia="Calibri" w:hAnsi="Calibri"/>
          <w:sz w:val="22"/>
          <w:szCs w:val="22"/>
        </w:rPr>
        <w:t xml:space="preserve">The Referral Partner provides TGA with a short monthly update on their pipeline, listing schools in discussion, expected student numbers, and expected start dates. TGA provides the Referral Partner with the monthly fee statement described in section 6 and access to enrolment figures for the schools in their portfolio.</w:t>
      </w:r>
    </w:p>
    <w:p>
      <w:pPr>
        <w:pStyle w:val="Heading1"/>
        <w:spacing w:after="120" w:before="280"/>
      </w:pPr>
      <w:r>
        <w:rPr>
          <w:rFonts w:ascii="Calibri" w:cs="Calibri" w:eastAsia="Calibri" w:hAnsi="Calibri"/>
          <w:b/>
          <w:bCs/>
          <w:color w:val="1F3A5F"/>
          <w:sz w:val="26"/>
          <w:szCs w:val="26"/>
        </w:rPr>
        <w:t xml:space="preserve">10. Next Steps</w:t>
      </w:r>
    </w:p>
    <w:p>
      <w:pPr>
        <w:spacing w:after="160" w:line="300"/>
      </w:pPr>
      <w:r>
        <w:rPr>
          <w:rFonts w:ascii="Calibri" w:cs="Calibri" w:eastAsia="Calibri" w:hAnsi="Calibri"/>
          <w:sz w:val="22"/>
          <w:szCs w:val="22"/>
        </w:rPr>
        <w:t xml:space="preserve">If these terms are acceptable in principle, the next step is a short call to confirm the points marked below, after which TGA will prepare the formal referral agreement for signature.</w:t>
      </w:r>
    </w:p>
    <w:p>
      <w:pPr>
        <w:spacing w:after="160" w:line="300"/>
      </w:pPr>
      <w:r>
        <w:rPr>
          <w:rFonts w:ascii="Calibri" w:cs="Calibri" w:eastAsia="Calibri" w:hAnsi="Calibri"/>
          <w:sz w:val="22"/>
          <w:szCs w:val="22"/>
        </w:rPr>
        <w:t xml:space="preserve">Points to confirm before the formal agreement is drafted: the exact legal name and entity of the Referral Partner, whether the Referral Partner will operate under a personal name or a company, the referral code to be assigned, the target list of schools for the first ninety days, and the launch date.</w:t>
      </w:r>
    </w:p>
    <w:p>
      <w:pPr>
        <w:pBdr>
          <w:top w:val="single" w:color="999999" w:sz="6" w:space="8"/>
        </w:pBdr>
        <w:spacing w:before="360"/>
      </w:pPr>
      <w:r>
        <w:rPr>
          <w:rFonts w:ascii="Calibri" w:cs="Calibri" w:eastAsia="Calibri" w:hAnsi="Calibri"/>
          <w:i/>
          <w:iCs/>
          <w:color w:val="555555"/>
          <w:sz w:val="18"/>
          <w:szCs w:val="18"/>
        </w:rPr>
        <w:t xml:space="preserve">Prepared by TGA. This document is a draft proposal for discussion and does not create a binding agreement. Terms are subject to the formal referral agreement to be signed by both parties.</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2026-09-12T17:44:02.869Z</dcterms:created>
  <dcterms:modified xsi:type="dcterms:W3CDTF">2026-09-12T17:44:02.869Z</dcterms:modified>
</cp:coreProperties>
</file>

<file path=docProps/custom.xml><?xml version="1.0" encoding="utf-8"?>
<Properties xmlns="http://schemas.openxmlformats.org/officeDocument/2006/custom-properties" xmlns:vt="http://schemas.openxmlformats.org/officeDocument/2006/docPropsVTypes"/>
</file>