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pPr>
      <w:r>
        <w:rPr>
          <w:rFonts w:ascii="Aptos Display" w:hAnsi="Aptos Display"/>
          <w:b/>
          <w:color w:val="18394E"/>
          <w:sz w:val="68"/>
        </w:rPr>
        <w:t>FUNERAL SPACES</w:t>
      </w:r>
    </w:p>
    <w:p>
      <w:pPr>
        <w:jc w:val="center"/>
      </w:pPr>
      <w:r>
        <w:rPr>
          <w:rFonts w:ascii="Aptos Display" w:hAnsi="Aptos Display"/>
          <w:color w:val="007180"/>
          <w:sz w:val="34"/>
        </w:rPr>
        <w:t>A connected digital platform for funeral societies, parlours and families</w:t>
      </w:r>
    </w:p>
    <w:p>
      <w:pPr>
        <w:spacing w:before="400"/>
        <w:jc w:val="center"/>
      </w:pPr>
      <w:r>
        <w:rPr>
          <w:b/>
          <w:color w:val="5A6973"/>
          <w:sz w:val="20"/>
        </w:rPr>
        <w:t>CONCEPT, PRODUCT STRATEGY &amp; VALIDATION PLAN</w:t>
      </w:r>
    </w:p>
    <w:p/>
    <w:tbl>
      <w:tblPr>
        <w:tblW w:type="auto" w:w="0"/>
        <w:tblLayout w:type="autofit"/>
        <w:tblLook w:firstColumn="1" w:firstRow="1" w:lastColumn="0" w:lastRow="0" w:noHBand="0" w:noVBand="1" w:val="04A0"/>
      </w:tblPr>
      <w:tblGrid>
        <w:gridCol w:w="9936"/>
      </w:tblGrid>
      <w:tr>
        <w:tc>
          <w:tcPr>
            <w:tcW w:type="dxa" w:w="9936"/>
            <w:shd w:fill="EAF4F5"/>
          </w:tcPr>
          <w:p>
            <w:pPr>
              <w:spacing w:after="60"/>
            </w:pPr>
            <w:r>
              <w:rPr>
                <w:b/>
                <w:color w:val="007180"/>
                <w:sz w:val="22"/>
              </w:rPr>
              <w:t>The central idea</w:t>
              <w:br/>
            </w:r>
            <w:r>
              <w:rPr>
                <w:sz w:val="20"/>
              </w:rPr>
              <w:t>Create a shared digital ecosystem where every organisation has its own secure Space, while individuals and families can move through one guided funeral journey—from society membership and claims to choosing a parlour, arranging services, coordinating tasks and tracking payments.</w:t>
            </w:r>
          </w:p>
        </w:tc>
      </w:tr>
    </w:tbl>
    <w:p>
      <w:pPr>
        <w:spacing w:after="20"/>
      </w:pPr>
    </w:p>
    <w:p>
      <w:pPr>
        <w:spacing w:before="1000"/>
        <w:jc w:val="center"/>
      </w:pPr>
      <w:r>
        <w:rPr>
          <w:color w:val="64737D"/>
          <w:sz w:val="20"/>
        </w:rPr>
        <w:t>Prepared as an early-stage concept document</w:t>
        <w:br/>
        <w:t>South Africa | October 2026</w:t>
      </w:r>
    </w:p>
    <w:p>
      <w:r>
        <w:br w:type="page"/>
      </w:r>
    </w:p>
    <w:p>
      <w:pPr>
        <w:pStyle w:val="Heading1"/>
      </w:pPr>
      <w:r>
        <w:t>Document overview</w:t>
      </w:r>
    </w:p>
    <w:p>
      <w:pPr>
        <w:pStyle w:val="ListBullet"/>
        <w:spacing w:after="60"/>
      </w:pPr>
      <w:r>
        <w:t>1. Executive summary</w:t>
      </w:r>
    </w:p>
    <w:p>
      <w:pPr>
        <w:pStyle w:val="ListBullet"/>
        <w:spacing w:after="60"/>
      </w:pPr>
      <w:r>
        <w:t>2. The Funeral Spaces concept</w:t>
      </w:r>
    </w:p>
    <w:p>
      <w:pPr>
        <w:pStyle w:val="ListBullet"/>
        <w:spacing w:after="60"/>
      </w:pPr>
      <w:r>
        <w:t>3. The four core Spaces</w:t>
      </w:r>
    </w:p>
    <w:p>
      <w:pPr>
        <w:pStyle w:val="ListBullet"/>
        <w:spacing w:after="60"/>
      </w:pPr>
      <w:r>
        <w:t>4. The connected funeral journey</w:t>
      </w:r>
    </w:p>
    <w:p>
      <w:pPr>
        <w:pStyle w:val="ListBullet"/>
        <w:spacing w:after="60"/>
      </w:pPr>
      <w:r>
        <w:t>5. Intelligent features and differentiation</w:t>
      </w:r>
    </w:p>
    <w:p>
      <w:pPr>
        <w:pStyle w:val="ListBullet"/>
        <w:spacing w:after="60"/>
      </w:pPr>
      <w:r>
        <w:t>6. Where the intelligence should sit</w:t>
      </w:r>
    </w:p>
    <w:p>
      <w:pPr>
        <w:pStyle w:val="ListBullet"/>
        <w:spacing w:after="60"/>
      </w:pPr>
      <w:r>
        <w:t>7. Competitor landscape and implications</w:t>
      </w:r>
    </w:p>
    <w:p>
      <w:pPr>
        <w:pStyle w:val="ListBullet"/>
        <w:spacing w:after="60"/>
      </w:pPr>
      <w:r>
        <w:t>8. Recommended MVP and rollout roadmap</w:t>
      </w:r>
    </w:p>
    <w:p>
      <w:pPr>
        <w:pStyle w:val="ListBullet"/>
        <w:spacing w:after="60"/>
      </w:pPr>
      <w:r>
        <w:t>9. Business model and illustrative pricing</w:t>
      </w:r>
    </w:p>
    <w:p>
      <w:pPr>
        <w:pStyle w:val="ListBullet"/>
        <w:spacing w:after="60"/>
      </w:pPr>
      <w:r>
        <w:t>10. Regulatory, privacy and trust considerations</w:t>
      </w:r>
    </w:p>
    <w:p>
      <w:pPr>
        <w:pStyle w:val="ListBullet"/>
        <w:spacing w:after="60"/>
      </w:pPr>
      <w:r>
        <w:t>11. Validation plan and pilot metrics</w:t>
      </w:r>
    </w:p>
    <w:p>
      <w:pPr>
        <w:pStyle w:val="ListBullet"/>
        <w:spacing w:after="60"/>
      </w:pPr>
      <w:r>
        <w:t>12. Strategic recommendation</w:t>
      </w:r>
    </w:p>
    <w:p>
      <w:pPr>
        <w:pStyle w:val="ListBullet"/>
        <w:spacing w:after="60"/>
      </w:pPr>
      <w:r>
        <w:t>Appendix: competitor references and research links</w:t>
      </w:r>
    </w:p>
    <w:p>
      <w:pPr>
        <w:pStyle w:val="Heading1"/>
      </w:pPr>
      <w:r>
        <w:t>1. Executive summary</w:t>
      </w:r>
    </w:p>
    <w:p>
      <w:r>
        <w:t>Funeral Spaces is a proposed digital platform designed to improve the experience of planning and administering a funeral in South Africa. The concept starts with the administrative needs of self-managed funeral societies and expands to connect funeral parlours, families and relevant suppliers.</w:t>
      </w:r>
    </w:p>
    <w:p>
      <w:r>
        <w:t>The key idea is not to create several disconnected applications. It is to provide secure, role-specific workspaces—called Spaces—that can connect through a shared funeral case when the relevant parties need to collaborate.</w:t>
      </w:r>
    </w:p>
    <w:tbl>
      <w:tblPr>
        <w:tblW w:type="auto" w:w="0"/>
        <w:tblLayout w:type="autofit"/>
        <w:tblLook w:firstColumn="1" w:firstRow="1" w:lastColumn="0" w:lastRow="0" w:noHBand="0" w:noVBand="1" w:val="04A0"/>
      </w:tblPr>
      <w:tblGrid>
        <w:gridCol w:w="9936"/>
      </w:tblGrid>
      <w:tr>
        <w:tc>
          <w:tcPr>
            <w:tcW w:type="dxa" w:w="9936"/>
            <w:shd w:fill="EAF4F5"/>
          </w:tcPr>
          <w:p>
            <w:pPr>
              <w:spacing w:after="60"/>
            </w:pPr>
            <w:r>
              <w:rPr>
                <w:b/>
                <w:color w:val="007180"/>
                <w:sz w:val="22"/>
              </w:rPr>
              <w:t>Recommended positioning</w:t>
              <w:br/>
            </w:r>
            <w:r>
              <w:rPr>
                <w:sz w:val="20"/>
              </w:rPr>
              <w:t>A digital management platform for funeral societies that brings member records, contributions, covered families, approvals and funeral claims into one transparent system—while enabling families to connect to parlours and suppliers through a guided, consent-based funeral journey.</w:t>
            </w:r>
          </w:p>
        </w:tc>
      </w:tr>
    </w:tbl>
    <w:p>
      <w:pPr>
        <w:spacing w:after="20"/>
      </w:pPr>
    </w:p>
    <w:p>
      <w:pPr>
        <w:pStyle w:val="Heading2"/>
      </w:pPr>
      <w:r>
        <w:t>Why this could matter</w:t>
      </w:r>
    </w:p>
    <w:p>
      <w:pPr>
        <w:pStyle w:val="ListBullet"/>
        <w:spacing w:after="60"/>
      </w:pPr>
      <w:r>
        <w:t>Societies need reliable records for contributions, covered lives, committee decisions and funeral benefits.</w:t>
      </w:r>
    </w:p>
    <w:p>
      <w:pPr>
        <w:pStyle w:val="ListBullet"/>
        <w:spacing w:after="60"/>
      </w:pPr>
      <w:r>
        <w:t>Parlours need better ways to present services, quote customers, manage bookings, invoice clients and track payments.</w:t>
      </w:r>
    </w:p>
    <w:p>
      <w:pPr>
        <w:pStyle w:val="ListBullet"/>
        <w:spacing w:after="60"/>
      </w:pPr>
      <w:r>
        <w:t>Families need clear guidance and coordination during a stressful period, without repeating the same information to multiple organisations.</w:t>
      </w:r>
    </w:p>
    <w:p>
      <w:pPr>
        <w:pStyle w:val="ListBullet"/>
        <w:spacing w:after="60"/>
      </w:pPr>
      <w:r>
        <w:t>Suppliers need a structured way to receive relevant orders and coordinate delivery.</w:t>
      </w:r>
    </w:p>
    <w:p>
      <w:pPr>
        <w:pStyle w:val="ListBullet"/>
        <w:spacing w:after="60"/>
      </w:pPr>
      <w:r>
        <w:t>The platform could create value by connecting these needs, rather than offering only generic member administration.</w:t>
      </w:r>
    </w:p>
    <w:p>
      <w:pPr>
        <w:pStyle w:val="Heading1"/>
      </w:pPr>
      <w:r>
        <w:t>2. The Funeral Spaces concept</w:t>
      </w:r>
    </w:p>
    <w:p>
      <w:r>
        <w:t>A Space is a secure digital workspace belonging to an organisation or individual. Each Space has its own records, permissions, workflows and services. Spaces can connect when a funeral case requires cooperation, with access limited to information needed for that task.</w:t>
      </w:r>
    </w:p>
    <w:tbl>
      <w:tblPr>
        <w:tblStyle w:val="LightShading-Accent1"/>
        <w:tblW w:type="auto" w:w="0"/>
        <w:tblLook w:firstColumn="1" w:firstRow="1" w:lastColumn="0" w:lastRow="0" w:noHBand="0" w:noVBand="1" w:val="04A0"/>
      </w:tblPr>
      <w:tblGrid>
        <w:gridCol w:w="4968"/>
        <w:gridCol w:w="4968"/>
      </w:tblGrid>
      <w:tr>
        <w:tc>
          <w:tcPr>
            <w:tcW w:type="dxa" w:w="4968"/>
            <w:vAlign w:val="center"/>
            <w:shd w:fill="18394E"/>
          </w:tcPr>
          <w:p>
            <w:pPr>
              <w:spacing w:after="40"/>
            </w:pPr>
            <w:r/>
            <w:r>
              <w:rPr>
                <w:rFonts w:ascii="Aptos" w:hAnsi="Aptos"/>
                <w:b/>
                <w:color w:val="FFFFFF"/>
                <w:sz w:val="18"/>
              </w:rPr>
              <w:t>Design principle</w:t>
            </w:r>
          </w:p>
        </w:tc>
        <w:tc>
          <w:tcPr>
            <w:tcW w:type="dxa" w:w="4968"/>
            <w:vAlign w:val="center"/>
            <w:shd w:fill="18394E"/>
          </w:tcPr>
          <w:p>
            <w:pPr>
              <w:spacing w:after="40"/>
            </w:pPr>
            <w:r/>
            <w:r>
              <w:rPr>
                <w:rFonts w:ascii="Aptos" w:hAnsi="Aptos"/>
                <w:b/>
                <w:color w:val="FFFFFF"/>
                <w:sz w:val="18"/>
              </w:rPr>
              <w:t>How it should work</w:t>
            </w:r>
          </w:p>
        </w:tc>
      </w:tr>
      <w:tr>
        <w:tc>
          <w:tcPr>
            <w:tcW w:type="dxa" w:w="4968"/>
            <w:vAlign w:val="center"/>
          </w:tcPr>
          <w:p>
            <w:pPr>
              <w:spacing w:after="40"/>
            </w:pPr>
            <w:r/>
            <w:r>
              <w:rPr>
                <w:rFonts w:ascii="Aptos" w:hAnsi="Aptos"/>
                <w:b w:val="0"/>
                <w:sz w:val="18"/>
              </w:rPr>
              <w:t>Separate workspaces</w:t>
            </w:r>
          </w:p>
        </w:tc>
        <w:tc>
          <w:tcPr>
            <w:tcW w:type="dxa" w:w="4968"/>
            <w:vAlign w:val="center"/>
          </w:tcPr>
          <w:p>
            <w:pPr>
              <w:spacing w:after="40"/>
            </w:pPr>
            <w:r/>
            <w:r>
              <w:rPr>
                <w:rFonts w:ascii="Aptos" w:hAnsi="Aptos"/>
                <w:b w:val="0"/>
                <w:sz w:val="18"/>
              </w:rPr>
              <w:t>Societies, parlours, families and suppliers have different interfaces and permissions.</w:t>
            </w:r>
          </w:p>
        </w:tc>
      </w:tr>
      <w:tr>
        <w:tc>
          <w:tcPr>
            <w:tcW w:type="dxa" w:w="4968"/>
            <w:vAlign w:val="center"/>
          </w:tcPr>
          <w:p>
            <w:pPr>
              <w:spacing w:after="40"/>
            </w:pPr>
            <w:r/>
            <w:r>
              <w:rPr>
                <w:rFonts w:ascii="Aptos" w:hAnsi="Aptos"/>
                <w:b w:val="0"/>
                <w:sz w:val="18"/>
              </w:rPr>
              <w:t>Shared funeral case</w:t>
            </w:r>
          </w:p>
        </w:tc>
        <w:tc>
          <w:tcPr>
            <w:tcW w:type="dxa" w:w="4968"/>
            <w:vAlign w:val="center"/>
          </w:tcPr>
          <w:p>
            <w:pPr>
              <w:spacing w:after="40"/>
            </w:pPr>
            <w:r/>
            <w:r>
              <w:rPr>
                <w:rFonts w:ascii="Aptos" w:hAnsi="Aptos"/>
                <w:b w:val="0"/>
                <w:sz w:val="18"/>
              </w:rPr>
              <w:t>A case links relevant parties for a specific funeral without merging all their records.</w:t>
            </w:r>
          </w:p>
        </w:tc>
      </w:tr>
      <w:tr>
        <w:tc>
          <w:tcPr>
            <w:tcW w:type="dxa" w:w="4968"/>
            <w:vAlign w:val="center"/>
          </w:tcPr>
          <w:p>
            <w:pPr>
              <w:spacing w:after="40"/>
            </w:pPr>
            <w:r/>
            <w:r>
              <w:rPr>
                <w:rFonts w:ascii="Aptos" w:hAnsi="Aptos"/>
                <w:b w:val="0"/>
                <w:sz w:val="18"/>
              </w:rPr>
              <w:t>Consent and purpose</w:t>
            </w:r>
          </w:p>
        </w:tc>
        <w:tc>
          <w:tcPr>
            <w:tcW w:type="dxa" w:w="4968"/>
            <w:vAlign w:val="center"/>
          </w:tcPr>
          <w:p>
            <w:pPr>
              <w:spacing w:after="40"/>
            </w:pPr>
            <w:r/>
            <w:r>
              <w:rPr>
                <w:rFonts w:ascii="Aptos" w:hAnsi="Aptos"/>
                <w:b w:val="0"/>
                <w:sz w:val="18"/>
              </w:rPr>
              <w:t>Information is shared selectively, with clear purpose and access history.</w:t>
            </w:r>
          </w:p>
        </w:tc>
      </w:tr>
      <w:tr>
        <w:tc>
          <w:tcPr>
            <w:tcW w:type="dxa" w:w="4968"/>
            <w:vAlign w:val="center"/>
          </w:tcPr>
          <w:p>
            <w:pPr>
              <w:spacing w:after="40"/>
            </w:pPr>
            <w:r/>
            <w:r>
              <w:rPr>
                <w:rFonts w:ascii="Aptos" w:hAnsi="Aptos"/>
                <w:b w:val="0"/>
                <w:sz w:val="18"/>
              </w:rPr>
              <w:t>Keep money in the right place</w:t>
            </w:r>
          </w:p>
        </w:tc>
        <w:tc>
          <w:tcPr>
            <w:tcW w:type="dxa" w:w="4968"/>
            <w:vAlign w:val="center"/>
          </w:tcPr>
          <w:p>
            <w:pPr>
              <w:spacing w:after="40"/>
            </w:pPr>
            <w:r/>
            <w:r>
              <w:rPr>
                <w:rFonts w:ascii="Aptos" w:hAnsi="Aptos"/>
                <w:b w:val="0"/>
                <w:sz w:val="18"/>
              </w:rPr>
              <w:t>Initially, societies and parlours retain their own bank accounts; the platform records and reconciles activity.</w:t>
            </w:r>
          </w:p>
        </w:tc>
      </w:tr>
      <w:tr>
        <w:tc>
          <w:tcPr>
            <w:tcW w:type="dxa" w:w="4968"/>
            <w:vAlign w:val="center"/>
          </w:tcPr>
          <w:p>
            <w:pPr>
              <w:spacing w:after="40"/>
            </w:pPr>
            <w:r/>
            <w:r>
              <w:rPr>
                <w:rFonts w:ascii="Aptos" w:hAnsi="Aptos"/>
                <w:b w:val="0"/>
                <w:sz w:val="18"/>
              </w:rPr>
              <w:t>One guided journey</w:t>
            </w:r>
          </w:p>
        </w:tc>
        <w:tc>
          <w:tcPr>
            <w:tcW w:type="dxa" w:w="4968"/>
            <w:vAlign w:val="center"/>
          </w:tcPr>
          <w:p>
            <w:pPr>
              <w:spacing w:after="40"/>
            </w:pPr>
            <w:r/>
            <w:r>
              <w:rPr>
                <w:rFonts w:ascii="Aptos" w:hAnsi="Aptos"/>
                <w:b w:val="0"/>
                <w:sz w:val="18"/>
              </w:rPr>
              <w:t>Families see a coherent sequence of next steps rather than having to understand every organisation’s internal process.</w:t>
            </w:r>
          </w:p>
        </w:tc>
      </w:tr>
      <w:tr>
        <w:tc>
          <w:tcPr>
            <w:tcW w:type="dxa" w:w="4968"/>
            <w:vAlign w:val="center"/>
          </w:tcPr>
          <w:p>
            <w:pPr>
              <w:spacing w:after="40"/>
            </w:pPr>
            <w:r/>
            <w:r>
              <w:rPr>
                <w:rFonts w:ascii="Aptos" w:hAnsi="Aptos"/>
                <w:b w:val="0"/>
                <w:sz w:val="18"/>
              </w:rPr>
              <w:t>Explainable automation</w:t>
            </w:r>
          </w:p>
        </w:tc>
        <w:tc>
          <w:tcPr>
            <w:tcW w:type="dxa" w:w="4968"/>
            <w:vAlign w:val="center"/>
          </w:tcPr>
          <w:p>
            <w:pPr>
              <w:spacing w:after="40"/>
            </w:pPr>
            <w:r/>
            <w:r>
              <w:rPr>
                <w:rFonts w:ascii="Aptos" w:hAnsi="Aptos"/>
                <w:b w:val="0"/>
                <w:sz w:val="18"/>
              </w:rPr>
              <w:t>Rules and alerts should show the records or criteria behind them; uncertain decisions go to an authorised person.</w:t>
            </w:r>
          </w:p>
        </w:tc>
      </w:tr>
    </w:tbl>
    <w:p>
      <w:pPr>
        <w:spacing w:after="20"/>
      </w:pPr>
    </w:p>
    <w:p>
      <w:pPr>
        <w:pStyle w:val="Heading2"/>
      </w:pPr>
      <w:r>
        <w:t>The platform at a glance</w:t>
      </w:r>
    </w:p>
    <w:tbl>
      <w:tblPr>
        <w:tblStyle w:val="LightShading-Accent1"/>
        <w:tblW w:type="auto" w:w="0"/>
        <w:tblLook w:firstColumn="1" w:firstRow="1" w:lastColumn="0" w:lastRow="0" w:noHBand="0" w:noVBand="1" w:val="04A0"/>
      </w:tblPr>
      <w:tblGrid>
        <w:gridCol w:w="3312"/>
        <w:gridCol w:w="3312"/>
        <w:gridCol w:w="3312"/>
      </w:tblGrid>
      <w:tr>
        <w:tc>
          <w:tcPr>
            <w:tcW w:type="dxa" w:w="3312"/>
            <w:vAlign w:val="center"/>
            <w:shd w:fill="18394E"/>
          </w:tcPr>
          <w:p>
            <w:pPr>
              <w:spacing w:after="40"/>
            </w:pPr>
            <w:r/>
            <w:r>
              <w:rPr>
                <w:rFonts w:ascii="Aptos" w:hAnsi="Aptos"/>
                <w:b/>
                <w:color w:val="FFFFFF"/>
                <w:sz w:val="18"/>
              </w:rPr>
              <w:t>Space</w:t>
            </w:r>
          </w:p>
        </w:tc>
        <w:tc>
          <w:tcPr>
            <w:tcW w:type="dxa" w:w="3312"/>
            <w:vAlign w:val="center"/>
            <w:shd w:fill="18394E"/>
          </w:tcPr>
          <w:p>
            <w:pPr>
              <w:spacing w:after="40"/>
            </w:pPr>
            <w:r/>
            <w:r>
              <w:rPr>
                <w:rFonts w:ascii="Aptos" w:hAnsi="Aptos"/>
                <w:b/>
                <w:color w:val="FFFFFF"/>
                <w:sz w:val="18"/>
              </w:rPr>
              <w:t>Primary users</w:t>
            </w:r>
          </w:p>
        </w:tc>
        <w:tc>
          <w:tcPr>
            <w:tcW w:type="dxa" w:w="3312"/>
            <w:vAlign w:val="center"/>
            <w:shd w:fill="18394E"/>
          </w:tcPr>
          <w:p>
            <w:pPr>
              <w:spacing w:after="40"/>
            </w:pPr>
            <w:r/>
            <w:r>
              <w:rPr>
                <w:rFonts w:ascii="Aptos" w:hAnsi="Aptos"/>
                <w:b/>
                <w:color w:val="FFFFFF"/>
                <w:sz w:val="18"/>
              </w:rPr>
              <w:t>Core purpose</w:t>
            </w:r>
          </w:p>
        </w:tc>
      </w:tr>
      <w:tr>
        <w:tc>
          <w:tcPr>
            <w:tcW w:type="dxa" w:w="3312"/>
            <w:vAlign w:val="center"/>
          </w:tcPr>
          <w:p>
            <w:pPr>
              <w:spacing w:after="40"/>
            </w:pPr>
            <w:r/>
            <w:r>
              <w:rPr>
                <w:rFonts w:ascii="Aptos" w:hAnsi="Aptos"/>
                <w:b w:val="0"/>
                <w:sz w:val="18"/>
              </w:rPr>
              <w:t>Society Space</w:t>
            </w:r>
          </w:p>
        </w:tc>
        <w:tc>
          <w:tcPr>
            <w:tcW w:type="dxa" w:w="3312"/>
            <w:vAlign w:val="center"/>
          </w:tcPr>
          <w:p>
            <w:pPr>
              <w:spacing w:after="40"/>
            </w:pPr>
            <w:r/>
            <w:r>
              <w:rPr>
                <w:rFonts w:ascii="Aptos" w:hAnsi="Aptos"/>
                <w:b w:val="0"/>
                <w:sz w:val="18"/>
              </w:rPr>
              <w:t>Chairperson, secretary, treasurer, members</w:t>
            </w:r>
          </w:p>
        </w:tc>
        <w:tc>
          <w:tcPr>
            <w:tcW w:type="dxa" w:w="3312"/>
            <w:vAlign w:val="center"/>
          </w:tcPr>
          <w:p>
            <w:pPr>
              <w:spacing w:after="40"/>
            </w:pPr>
            <w:r/>
            <w:r>
              <w:rPr>
                <w:rFonts w:ascii="Aptos" w:hAnsi="Aptos"/>
                <w:b w:val="0"/>
                <w:sz w:val="18"/>
              </w:rPr>
              <w:t>Membership, covered lives, contributions, arrears, governance, approvals and benefit claims.</w:t>
            </w:r>
          </w:p>
        </w:tc>
      </w:tr>
      <w:tr>
        <w:tc>
          <w:tcPr>
            <w:tcW w:type="dxa" w:w="3312"/>
            <w:vAlign w:val="center"/>
          </w:tcPr>
          <w:p>
            <w:pPr>
              <w:spacing w:after="40"/>
            </w:pPr>
            <w:r/>
            <w:r>
              <w:rPr>
                <w:rFonts w:ascii="Aptos" w:hAnsi="Aptos"/>
                <w:b w:val="0"/>
                <w:sz w:val="18"/>
              </w:rPr>
              <w:t>Parlour Space</w:t>
            </w:r>
          </w:p>
        </w:tc>
        <w:tc>
          <w:tcPr>
            <w:tcW w:type="dxa" w:w="3312"/>
            <w:vAlign w:val="center"/>
          </w:tcPr>
          <w:p>
            <w:pPr>
              <w:spacing w:after="40"/>
            </w:pPr>
            <w:r/>
            <w:r>
              <w:rPr>
                <w:rFonts w:ascii="Aptos" w:hAnsi="Aptos"/>
                <w:b w:val="0"/>
                <w:sz w:val="18"/>
              </w:rPr>
              <w:t>Funeral parlour owners and staff</w:t>
            </w:r>
          </w:p>
        </w:tc>
        <w:tc>
          <w:tcPr>
            <w:tcW w:type="dxa" w:w="3312"/>
            <w:vAlign w:val="center"/>
          </w:tcPr>
          <w:p>
            <w:pPr>
              <w:spacing w:after="40"/>
            </w:pPr>
            <w:r/>
            <w:r>
              <w:rPr>
                <w:rFonts w:ascii="Aptos" w:hAnsi="Aptos"/>
                <w:b w:val="0"/>
                <w:sz w:val="18"/>
              </w:rPr>
              <w:t>Services, packages, quotations, bookings, invoices, payment status and customer cases.</w:t>
            </w:r>
          </w:p>
        </w:tc>
      </w:tr>
      <w:tr>
        <w:tc>
          <w:tcPr>
            <w:tcW w:type="dxa" w:w="3312"/>
            <w:vAlign w:val="center"/>
          </w:tcPr>
          <w:p>
            <w:pPr>
              <w:spacing w:after="40"/>
            </w:pPr>
            <w:r/>
            <w:r>
              <w:rPr>
                <w:rFonts w:ascii="Aptos" w:hAnsi="Aptos"/>
                <w:b w:val="0"/>
                <w:sz w:val="18"/>
              </w:rPr>
              <w:t>Family Space</w:t>
            </w:r>
          </w:p>
        </w:tc>
        <w:tc>
          <w:tcPr>
            <w:tcW w:type="dxa" w:w="3312"/>
            <w:vAlign w:val="center"/>
          </w:tcPr>
          <w:p>
            <w:pPr>
              <w:spacing w:after="40"/>
            </w:pPr>
            <w:r/>
            <w:r>
              <w:rPr>
                <w:rFonts w:ascii="Aptos" w:hAnsi="Aptos"/>
                <w:b w:val="0"/>
                <w:sz w:val="18"/>
              </w:rPr>
              <w:t>Family organiser and invited relatives</w:t>
            </w:r>
          </w:p>
        </w:tc>
        <w:tc>
          <w:tcPr>
            <w:tcW w:type="dxa" w:w="3312"/>
            <w:vAlign w:val="center"/>
          </w:tcPr>
          <w:p>
            <w:pPr>
              <w:spacing w:after="40"/>
            </w:pPr>
            <w:r/>
            <w:r>
              <w:rPr>
                <w:rFonts w:ascii="Aptos" w:hAnsi="Aptos"/>
                <w:b w:val="0"/>
                <w:sz w:val="18"/>
              </w:rPr>
              <w:t>Guidance, documents, tasks, decisions, bookings, claim progress and payment visibility.</w:t>
            </w:r>
          </w:p>
        </w:tc>
      </w:tr>
      <w:tr>
        <w:tc>
          <w:tcPr>
            <w:tcW w:type="dxa" w:w="3312"/>
            <w:vAlign w:val="center"/>
          </w:tcPr>
          <w:p>
            <w:pPr>
              <w:spacing w:after="40"/>
            </w:pPr>
            <w:r/>
            <w:r>
              <w:rPr>
                <w:rFonts w:ascii="Aptos" w:hAnsi="Aptos"/>
                <w:b w:val="0"/>
                <w:sz w:val="18"/>
              </w:rPr>
              <w:t>Supplier Space</w:t>
            </w:r>
          </w:p>
        </w:tc>
        <w:tc>
          <w:tcPr>
            <w:tcW w:type="dxa" w:w="3312"/>
            <w:vAlign w:val="center"/>
          </w:tcPr>
          <w:p>
            <w:pPr>
              <w:spacing w:after="40"/>
            </w:pPr>
            <w:r/>
            <w:r>
              <w:rPr>
                <w:rFonts w:ascii="Aptos" w:hAnsi="Aptos"/>
                <w:b w:val="0"/>
                <w:sz w:val="18"/>
              </w:rPr>
              <w:t>Approved service providers</w:t>
            </w:r>
          </w:p>
        </w:tc>
        <w:tc>
          <w:tcPr>
            <w:tcW w:type="dxa" w:w="3312"/>
            <w:vAlign w:val="center"/>
          </w:tcPr>
          <w:p>
            <w:pPr>
              <w:spacing w:after="40"/>
            </w:pPr>
            <w:r/>
            <w:r>
              <w:rPr>
                <w:rFonts w:ascii="Aptos" w:hAnsi="Aptos"/>
                <w:b w:val="0"/>
                <w:sz w:val="18"/>
              </w:rPr>
              <w:t>Service catalogue, availability, orders, quotations, fulfilment and payment status.</w:t>
            </w:r>
          </w:p>
        </w:tc>
      </w:tr>
      <w:tr>
        <w:tc>
          <w:tcPr>
            <w:tcW w:type="dxa" w:w="3312"/>
            <w:vAlign w:val="center"/>
          </w:tcPr>
          <w:p>
            <w:pPr>
              <w:spacing w:after="40"/>
            </w:pPr>
            <w:r/>
            <w:r>
              <w:rPr>
                <w:rFonts w:ascii="Aptos" w:hAnsi="Aptos"/>
                <w:b w:val="0"/>
                <w:sz w:val="18"/>
              </w:rPr>
              <w:t>Shared Funeral Case</w:t>
            </w:r>
          </w:p>
        </w:tc>
        <w:tc>
          <w:tcPr>
            <w:tcW w:type="dxa" w:w="3312"/>
            <w:vAlign w:val="center"/>
          </w:tcPr>
          <w:p>
            <w:pPr>
              <w:spacing w:after="40"/>
            </w:pPr>
            <w:r/>
            <w:r>
              <w:rPr>
                <w:rFonts w:ascii="Aptos" w:hAnsi="Aptos"/>
                <w:b w:val="0"/>
                <w:sz w:val="18"/>
              </w:rPr>
              <w:t>Only parties involved in that case</w:t>
            </w:r>
          </w:p>
        </w:tc>
        <w:tc>
          <w:tcPr>
            <w:tcW w:type="dxa" w:w="3312"/>
            <w:vAlign w:val="center"/>
          </w:tcPr>
          <w:p>
            <w:pPr>
              <w:spacing w:after="40"/>
            </w:pPr>
            <w:r/>
            <w:r>
              <w:rPr>
                <w:rFonts w:ascii="Aptos" w:hAnsi="Aptos"/>
                <w:b w:val="0"/>
                <w:sz w:val="18"/>
              </w:rPr>
              <w:t>Connect relevant workflows, information and tasks for one funeral.</w:t>
            </w:r>
          </w:p>
        </w:tc>
      </w:tr>
    </w:tbl>
    <w:p>
      <w:pPr>
        <w:spacing w:after="20"/>
      </w:pPr>
    </w:p>
    <w:p>
      <w:pPr>
        <w:pStyle w:val="Heading1"/>
      </w:pPr>
      <w:r>
        <w:t>3. The four core Spaces</w:t>
      </w:r>
    </w:p>
    <w:p>
      <w:pPr>
        <w:pStyle w:val="Heading2"/>
      </w:pPr>
      <w:r>
        <w:t>3.1 Society Space</w:t>
      </w:r>
    </w:p>
    <w:p>
      <w:r>
        <w:t>The Society Space is the initial foundation. It should help a funeral society operate with greater accuracy and transparency without forcing it to change its banking arrangements.</w:t>
      </w:r>
    </w:p>
    <w:p>
      <w:pPr>
        <w:pStyle w:val="ListBullet"/>
        <w:spacing w:after="60"/>
      </w:pPr>
      <w:r>
        <w:t>Society registration, constitution and configurable rules.</w:t>
      </w:r>
    </w:p>
    <w:p>
      <w:pPr>
        <w:pStyle w:val="ListBullet"/>
        <w:spacing w:after="60"/>
      </w:pPr>
      <w:r>
        <w:t>Member registration and covered-lives/family register, including relationship, effective dates and authorised changes.</w:t>
      </w:r>
    </w:p>
    <w:p>
      <w:pPr>
        <w:pStyle w:val="ListBullet"/>
        <w:spacing w:after="60"/>
      </w:pPr>
      <w:r>
        <w:t>Monthly contribution schedules, arrears tracking, receipts and transaction histories.</w:t>
      </w:r>
    </w:p>
    <w:p>
      <w:pPr>
        <w:pStyle w:val="ListBullet"/>
        <w:spacing w:after="60"/>
      </w:pPr>
      <w:r>
        <w:t>Bank statement import and reconciliation, with uncertain matches flagged for review.</w:t>
      </w:r>
    </w:p>
    <w:p>
      <w:pPr>
        <w:pStyle w:val="ListBullet"/>
        <w:spacing w:after="60"/>
      </w:pPr>
      <w:r>
        <w:t>Committee roles, permissions and withdrawal approval records.</w:t>
      </w:r>
    </w:p>
    <w:p>
      <w:pPr>
        <w:pStyle w:val="ListBullet"/>
        <w:spacing w:after="60"/>
      </w:pPr>
      <w:r>
        <w:t>Funeral notification, eligibility checks against configured rules, document checklist and claim tracking.</w:t>
      </w:r>
    </w:p>
    <w:p>
      <w:pPr>
        <w:pStyle w:val="ListBullet"/>
        <w:spacing w:after="60"/>
      </w:pPr>
      <w:r>
        <w:t>Monthly statements, financial reports, audit history and member-facing contribution visibility.</w:t>
      </w:r>
    </w:p>
    <w:p>
      <w:pPr>
        <w:pStyle w:val="ListBullet"/>
        <w:spacing w:after="60"/>
      </w:pPr>
      <w:r>
        <w:t>Notifications for payments, arrears, membership changes, approvals and funeral cases.</w:t>
      </w:r>
    </w:p>
    <w:p>
      <w:pPr>
        <w:pStyle w:val="Heading2"/>
      </w:pPr>
      <w:r>
        <w:t>3.2 Parlour Space</w:t>
      </w:r>
    </w:p>
    <w:p>
      <w:pPr>
        <w:pStyle w:val="ListBullet"/>
        <w:spacing w:after="60"/>
      </w:pPr>
      <w:r>
        <w:t>Verified business profile, service area, contact details and operating information.</w:t>
      </w:r>
    </w:p>
    <w:p>
      <w:pPr>
        <w:pStyle w:val="ListBullet"/>
        <w:spacing w:after="60"/>
      </w:pPr>
      <w:r>
        <w:t>Funeral packages and optional services with transparent itemised pricing.</w:t>
      </w:r>
    </w:p>
    <w:p>
      <w:pPr>
        <w:pStyle w:val="ListBullet"/>
        <w:spacing w:after="60"/>
      </w:pPr>
      <w:r>
        <w:t>Quotation requests, quote versions, customer approvals and booking confirmation.</w:t>
      </w:r>
    </w:p>
    <w:p>
      <w:pPr>
        <w:pStyle w:val="ListBullet"/>
        <w:spacing w:after="60"/>
      </w:pPr>
      <w:r>
        <w:t>Invoices, payment links and payment reconciliation against the correct invoice.</w:t>
      </w:r>
    </w:p>
    <w:p>
      <w:pPr>
        <w:pStyle w:val="ListBullet"/>
        <w:spacing w:after="60"/>
      </w:pPr>
      <w:r>
        <w:t>Case management, outstanding documents, tasks and service milestones.</w:t>
      </w:r>
    </w:p>
    <w:p>
      <w:pPr>
        <w:pStyle w:val="ListBullet"/>
        <w:spacing w:after="60"/>
      </w:pPr>
      <w:r>
        <w:t>Order coordination with participating suppliers.</w:t>
      </w:r>
    </w:p>
    <w:p>
      <w:pPr>
        <w:pStyle w:val="ListBullet"/>
        <w:spacing w:after="60"/>
      </w:pPr>
      <w:r>
        <w:t>Basic operational reporting and customer communication history.</w:t>
      </w:r>
    </w:p>
    <w:p>
      <w:pPr>
        <w:pStyle w:val="Heading2"/>
      </w:pPr>
      <w:r>
        <w:t>3.3 Family Space</w:t>
      </w:r>
    </w:p>
    <w:p>
      <w:pPr>
        <w:pStyle w:val="ListBullet"/>
        <w:spacing w:after="60"/>
      </w:pPr>
      <w:r>
        <w:t>Private funeral case with a guided checklist and clear next steps.</w:t>
      </w:r>
    </w:p>
    <w:p>
      <w:pPr>
        <w:pStyle w:val="ListBullet"/>
        <w:spacing w:after="60"/>
      </w:pPr>
      <w:r>
        <w:t>Ability to invite selected relatives and assign tasks.</w:t>
      </w:r>
    </w:p>
    <w:p>
      <w:pPr>
        <w:pStyle w:val="ListBullet"/>
        <w:spacing w:after="60"/>
      </w:pPr>
      <w:r>
        <w:t>Document wallet for relevant membership, policy, identity and claim documents.</w:t>
      </w:r>
    </w:p>
    <w:p>
      <w:pPr>
        <w:pStyle w:val="ListBullet"/>
        <w:spacing w:after="60"/>
      </w:pPr>
      <w:r>
        <w:t>Claim progress, outstanding requirements and approved status updates.</w:t>
      </w:r>
    </w:p>
    <w:p>
      <w:pPr>
        <w:pStyle w:val="ListBullet"/>
        <w:spacing w:after="60"/>
      </w:pPr>
      <w:r>
        <w:t>Parlour discovery, comparable quotations, selected services and booking details.</w:t>
      </w:r>
    </w:p>
    <w:p>
      <w:pPr>
        <w:pStyle w:val="ListBullet"/>
        <w:spacing w:after="60"/>
      </w:pPr>
      <w:r>
        <w:t>Payment links, invoice status and receipts.</w:t>
      </w:r>
    </w:p>
    <w:p>
      <w:pPr>
        <w:pStyle w:val="ListBullet"/>
        <w:spacing w:after="60"/>
      </w:pPr>
      <w:r>
        <w:t>A record of important decisions, dates and arrangements.</w:t>
      </w:r>
    </w:p>
    <w:p>
      <w:pPr>
        <w:pStyle w:val="Heading2"/>
      </w:pPr>
      <w:r>
        <w:t>3.4 Supplier Space</w:t>
      </w:r>
    </w:p>
    <w:p>
      <w:pPr>
        <w:pStyle w:val="ListBullet"/>
        <w:spacing w:after="60"/>
      </w:pPr>
      <w:r>
        <w:t>Supplier profile and services offered, including service area and availability.</w:t>
      </w:r>
    </w:p>
    <w:p>
      <w:pPr>
        <w:pStyle w:val="ListBullet"/>
        <w:spacing w:after="60"/>
      </w:pPr>
      <w:r>
        <w:t>Catalogue for relevant items such as flowers, catering, tents, chairs, transport, venues and tombstones.</w:t>
      </w:r>
    </w:p>
    <w:p>
      <w:pPr>
        <w:pStyle w:val="ListBullet"/>
        <w:spacing w:after="60"/>
      </w:pPr>
      <w:r>
        <w:t>Quote or order acceptance, delivery/fulfilment status and communication.</w:t>
      </w:r>
    </w:p>
    <w:p>
      <w:pPr>
        <w:pStyle w:val="ListBullet"/>
        <w:spacing w:after="60"/>
      </w:pPr>
      <w:r>
        <w:t>Invoices and payment status, subject to the selected payment arrangement.</w:t>
      </w:r>
    </w:p>
    <w:p>
      <w:pPr>
        <w:pStyle w:val="ListBullet"/>
        <w:spacing w:after="60"/>
      </w:pPr>
      <w:r>
        <w:t>Limited access to only the case details needed to fulfil the order.</w:t>
      </w:r>
    </w:p>
    <w:p>
      <w:pPr>
        <w:pStyle w:val="Heading1"/>
      </w:pPr>
      <w:r>
        <w:t>4. The connected funeral journey</w:t>
      </w:r>
    </w:p>
    <w:p>
      <w:r>
        <w:t>The platform’s differentiator should be the connections between Spaces. The user should not have to restart the process every time a different organisation becomes involved.</w:t>
      </w:r>
    </w:p>
    <w:tbl>
      <w:tblPr>
        <w:tblStyle w:val="LightShading-Accent1"/>
        <w:tblW w:type="auto" w:w="0"/>
        <w:tblLook w:firstColumn="1" w:firstRow="1" w:lastColumn="0" w:lastRow="0" w:noHBand="0" w:noVBand="1" w:val="04A0"/>
      </w:tblPr>
      <w:tblGrid>
        <w:gridCol w:w="3312"/>
        <w:gridCol w:w="3312"/>
        <w:gridCol w:w="3312"/>
      </w:tblGrid>
      <w:tr>
        <w:tc>
          <w:tcPr>
            <w:tcW w:type="dxa" w:w="3312"/>
            <w:vAlign w:val="center"/>
            <w:shd w:fill="18394E"/>
          </w:tcPr>
          <w:p>
            <w:pPr>
              <w:spacing w:after="40"/>
            </w:pPr>
            <w:r/>
            <w:r>
              <w:rPr>
                <w:rFonts w:ascii="Aptos" w:hAnsi="Aptos"/>
                <w:b/>
                <w:color w:val="FFFFFF"/>
                <w:sz w:val="18"/>
              </w:rPr>
              <w:t>Stage</w:t>
            </w:r>
          </w:p>
        </w:tc>
        <w:tc>
          <w:tcPr>
            <w:tcW w:type="dxa" w:w="3312"/>
            <w:vAlign w:val="center"/>
            <w:shd w:fill="18394E"/>
          </w:tcPr>
          <w:p>
            <w:pPr>
              <w:spacing w:after="40"/>
            </w:pPr>
            <w:r/>
            <w:r>
              <w:rPr>
                <w:rFonts w:ascii="Aptos" w:hAnsi="Aptos"/>
                <w:b/>
                <w:color w:val="FFFFFF"/>
                <w:sz w:val="18"/>
              </w:rPr>
              <w:t>User experience</w:t>
            </w:r>
          </w:p>
        </w:tc>
        <w:tc>
          <w:tcPr>
            <w:tcW w:type="dxa" w:w="3312"/>
            <w:vAlign w:val="center"/>
            <w:shd w:fill="18394E"/>
          </w:tcPr>
          <w:p>
            <w:pPr>
              <w:spacing w:after="40"/>
            </w:pPr>
            <w:r/>
            <w:r>
              <w:rPr>
                <w:rFonts w:ascii="Aptos" w:hAnsi="Aptos"/>
                <w:b/>
                <w:color w:val="FFFFFF"/>
                <w:sz w:val="18"/>
              </w:rPr>
              <w:t>Platform activity</w:t>
            </w:r>
          </w:p>
        </w:tc>
      </w:tr>
      <w:tr>
        <w:tc>
          <w:tcPr>
            <w:tcW w:type="dxa" w:w="3312"/>
            <w:vAlign w:val="center"/>
          </w:tcPr>
          <w:p>
            <w:pPr>
              <w:spacing w:after="40"/>
            </w:pPr>
            <w:r/>
            <w:r>
              <w:rPr>
                <w:rFonts w:ascii="Aptos" w:hAnsi="Aptos"/>
                <w:b w:val="0"/>
                <w:sz w:val="18"/>
              </w:rPr>
              <w:t>1. Death reported</w:t>
            </w:r>
          </w:p>
        </w:tc>
        <w:tc>
          <w:tcPr>
            <w:tcW w:type="dxa" w:w="3312"/>
            <w:vAlign w:val="center"/>
          </w:tcPr>
          <w:p>
            <w:pPr>
              <w:spacing w:after="40"/>
            </w:pPr>
            <w:r/>
            <w:r>
              <w:rPr>
                <w:rFonts w:ascii="Aptos" w:hAnsi="Aptos"/>
                <w:b w:val="0"/>
                <w:sz w:val="18"/>
              </w:rPr>
              <w:t>A family organiser starts a private funeral case.</w:t>
            </w:r>
          </w:p>
        </w:tc>
        <w:tc>
          <w:tcPr>
            <w:tcW w:type="dxa" w:w="3312"/>
            <w:vAlign w:val="center"/>
          </w:tcPr>
          <w:p>
            <w:pPr>
              <w:spacing w:after="40"/>
            </w:pPr>
            <w:r/>
            <w:r>
              <w:rPr>
                <w:rFonts w:ascii="Aptos" w:hAnsi="Aptos"/>
                <w:b w:val="0"/>
                <w:sz w:val="18"/>
              </w:rPr>
              <w:t>Capture essential information, identify potential society or policy relationships, and trigger the appropriate checklist.</w:t>
            </w:r>
          </w:p>
        </w:tc>
      </w:tr>
      <w:tr>
        <w:tc>
          <w:tcPr>
            <w:tcW w:type="dxa" w:w="3312"/>
            <w:vAlign w:val="center"/>
          </w:tcPr>
          <w:p>
            <w:pPr>
              <w:spacing w:after="40"/>
            </w:pPr>
            <w:r/>
            <w:r>
              <w:rPr>
                <w:rFonts w:ascii="Aptos" w:hAnsi="Aptos"/>
                <w:b w:val="0"/>
                <w:sz w:val="18"/>
              </w:rPr>
              <w:t>2. Next steps identified</w:t>
            </w:r>
          </w:p>
        </w:tc>
        <w:tc>
          <w:tcPr>
            <w:tcW w:type="dxa" w:w="3312"/>
            <w:vAlign w:val="center"/>
          </w:tcPr>
          <w:p>
            <w:pPr>
              <w:spacing w:after="40"/>
            </w:pPr>
            <w:r/>
            <w:r>
              <w:rPr>
                <w:rFonts w:ascii="Aptos" w:hAnsi="Aptos"/>
                <w:b w:val="0"/>
                <w:sz w:val="18"/>
              </w:rPr>
              <w:t>The family receives a clear list of what to do next.</w:t>
            </w:r>
          </w:p>
        </w:tc>
        <w:tc>
          <w:tcPr>
            <w:tcW w:type="dxa" w:w="3312"/>
            <w:vAlign w:val="center"/>
          </w:tcPr>
          <w:p>
            <w:pPr>
              <w:spacing w:after="40"/>
            </w:pPr>
            <w:r/>
            <w:r>
              <w:rPr>
                <w:rFonts w:ascii="Aptos" w:hAnsi="Aptos"/>
                <w:b w:val="0"/>
                <w:sz w:val="18"/>
              </w:rPr>
              <w:t>With permission, connect to relevant records, identify missing information and explain applicable process steps.</w:t>
            </w:r>
          </w:p>
        </w:tc>
      </w:tr>
      <w:tr>
        <w:tc>
          <w:tcPr>
            <w:tcW w:type="dxa" w:w="3312"/>
            <w:vAlign w:val="center"/>
          </w:tcPr>
          <w:p>
            <w:pPr>
              <w:spacing w:after="40"/>
            </w:pPr>
            <w:r/>
            <w:r>
              <w:rPr>
                <w:rFonts w:ascii="Aptos" w:hAnsi="Aptos"/>
                <w:b w:val="0"/>
                <w:sz w:val="18"/>
              </w:rPr>
              <w:t>3. Claim process</w:t>
            </w:r>
          </w:p>
        </w:tc>
        <w:tc>
          <w:tcPr>
            <w:tcW w:type="dxa" w:w="3312"/>
            <w:vAlign w:val="center"/>
          </w:tcPr>
          <w:p>
            <w:pPr>
              <w:spacing w:after="40"/>
            </w:pPr>
            <w:r/>
            <w:r>
              <w:rPr>
                <w:rFonts w:ascii="Aptos" w:hAnsi="Aptos"/>
                <w:b w:val="0"/>
                <w:sz w:val="18"/>
              </w:rPr>
              <w:t>The family follows the relevant society or insurer process.</w:t>
            </w:r>
          </w:p>
        </w:tc>
        <w:tc>
          <w:tcPr>
            <w:tcW w:type="dxa" w:w="3312"/>
            <w:vAlign w:val="center"/>
          </w:tcPr>
          <w:p>
            <w:pPr>
              <w:spacing w:after="40"/>
            </w:pPr>
            <w:r/>
            <w:r>
              <w:rPr>
                <w:rFonts w:ascii="Aptos" w:hAnsi="Aptos"/>
                <w:b w:val="0"/>
                <w:sz w:val="18"/>
              </w:rPr>
              <w:t>Track requirements and status; route decisions to the authorised society committee or insurer.</w:t>
            </w:r>
          </w:p>
        </w:tc>
      </w:tr>
      <w:tr>
        <w:tc>
          <w:tcPr>
            <w:tcW w:type="dxa" w:w="3312"/>
            <w:vAlign w:val="center"/>
          </w:tcPr>
          <w:p>
            <w:pPr>
              <w:spacing w:after="40"/>
            </w:pPr>
            <w:r/>
            <w:r>
              <w:rPr>
                <w:rFonts w:ascii="Aptos" w:hAnsi="Aptos"/>
                <w:b w:val="0"/>
                <w:sz w:val="18"/>
              </w:rPr>
              <w:t>4. Parlour selected</w:t>
            </w:r>
          </w:p>
        </w:tc>
        <w:tc>
          <w:tcPr>
            <w:tcW w:type="dxa" w:w="3312"/>
            <w:vAlign w:val="center"/>
          </w:tcPr>
          <w:p>
            <w:pPr>
              <w:spacing w:after="40"/>
            </w:pPr>
            <w:r/>
            <w:r>
              <w:rPr>
                <w:rFonts w:ascii="Aptos" w:hAnsi="Aptos"/>
                <w:b w:val="0"/>
                <w:sz w:val="18"/>
              </w:rPr>
              <w:t>The family compares packages and requests quotations.</w:t>
            </w:r>
          </w:p>
        </w:tc>
        <w:tc>
          <w:tcPr>
            <w:tcW w:type="dxa" w:w="3312"/>
            <w:vAlign w:val="center"/>
          </w:tcPr>
          <w:p>
            <w:pPr>
              <w:spacing w:after="40"/>
            </w:pPr>
            <w:r/>
            <w:r>
              <w:rPr>
                <w:rFonts w:ascii="Aptos" w:hAnsi="Aptos"/>
                <w:b w:val="0"/>
                <w:sz w:val="18"/>
              </w:rPr>
              <w:t>Present itemised quotes and connect the selected parlour to the case.</w:t>
            </w:r>
          </w:p>
        </w:tc>
      </w:tr>
      <w:tr>
        <w:tc>
          <w:tcPr>
            <w:tcW w:type="dxa" w:w="3312"/>
            <w:vAlign w:val="center"/>
          </w:tcPr>
          <w:p>
            <w:pPr>
              <w:spacing w:after="40"/>
            </w:pPr>
            <w:r/>
            <w:r>
              <w:rPr>
                <w:rFonts w:ascii="Aptos" w:hAnsi="Aptos"/>
                <w:b w:val="0"/>
                <w:sz w:val="18"/>
              </w:rPr>
              <w:t>5. Arrangements coordinated</w:t>
            </w:r>
          </w:p>
        </w:tc>
        <w:tc>
          <w:tcPr>
            <w:tcW w:type="dxa" w:w="3312"/>
            <w:vAlign w:val="center"/>
          </w:tcPr>
          <w:p>
            <w:pPr>
              <w:spacing w:after="40"/>
            </w:pPr>
            <w:r/>
            <w:r>
              <w:rPr>
                <w:rFonts w:ascii="Aptos" w:hAnsi="Aptos"/>
                <w:b w:val="0"/>
                <w:sz w:val="18"/>
              </w:rPr>
              <w:t>The family sees bookings, tasks, documents and payments.</w:t>
            </w:r>
          </w:p>
        </w:tc>
        <w:tc>
          <w:tcPr>
            <w:tcW w:type="dxa" w:w="3312"/>
            <w:vAlign w:val="center"/>
          </w:tcPr>
          <w:p>
            <w:pPr>
              <w:spacing w:after="40"/>
            </w:pPr>
            <w:r/>
            <w:r>
              <w:rPr>
                <w:rFonts w:ascii="Aptos" w:hAnsi="Aptos"/>
                <w:b w:val="0"/>
                <w:sz w:val="18"/>
              </w:rPr>
              <w:t>Coordinate the parlour, selected suppliers and family tasks using role-specific access.</w:t>
            </w:r>
          </w:p>
        </w:tc>
      </w:tr>
      <w:tr>
        <w:tc>
          <w:tcPr>
            <w:tcW w:type="dxa" w:w="3312"/>
            <w:vAlign w:val="center"/>
          </w:tcPr>
          <w:p>
            <w:pPr>
              <w:spacing w:after="40"/>
            </w:pPr>
            <w:r/>
            <w:r>
              <w:rPr>
                <w:rFonts w:ascii="Aptos" w:hAnsi="Aptos"/>
                <w:b w:val="0"/>
                <w:sz w:val="18"/>
              </w:rPr>
              <w:t>6. Case closed</w:t>
            </w:r>
          </w:p>
        </w:tc>
        <w:tc>
          <w:tcPr>
            <w:tcW w:type="dxa" w:w="3312"/>
            <w:vAlign w:val="center"/>
          </w:tcPr>
          <w:p>
            <w:pPr>
              <w:spacing w:after="40"/>
            </w:pPr>
            <w:r/>
            <w:r>
              <w:rPr>
                <w:rFonts w:ascii="Aptos" w:hAnsi="Aptos"/>
                <w:b w:val="0"/>
                <w:sz w:val="18"/>
              </w:rPr>
              <w:t>The family receives relevant records and final updates.</w:t>
            </w:r>
          </w:p>
        </w:tc>
        <w:tc>
          <w:tcPr>
            <w:tcW w:type="dxa" w:w="3312"/>
            <w:vAlign w:val="center"/>
          </w:tcPr>
          <w:p>
            <w:pPr>
              <w:spacing w:after="40"/>
            </w:pPr>
            <w:r/>
            <w:r>
              <w:rPr>
                <w:rFonts w:ascii="Aptos" w:hAnsi="Aptos"/>
                <w:b w:val="0"/>
                <w:sz w:val="18"/>
              </w:rPr>
              <w:t>Record final invoices, payment status, claim outcomes and case closure; retain records according to policy.</w:t>
            </w:r>
          </w:p>
        </w:tc>
      </w:tr>
    </w:tbl>
    <w:p>
      <w:pPr>
        <w:spacing w:after="20"/>
      </w:pPr>
    </w:p>
    <w:tbl>
      <w:tblPr>
        <w:tblW w:type="auto" w:w="0"/>
        <w:tblLayout w:type="autofit"/>
        <w:tblLook w:firstColumn="1" w:firstRow="1" w:lastColumn="0" w:lastRow="0" w:noHBand="0" w:noVBand="1" w:val="04A0"/>
      </w:tblPr>
      <w:tblGrid>
        <w:gridCol w:w="9936"/>
      </w:tblGrid>
      <w:tr>
        <w:tc>
          <w:tcPr>
            <w:tcW w:type="dxa" w:w="9936"/>
            <w:shd w:fill="EAF4F5"/>
          </w:tcPr>
          <w:p>
            <w:pPr>
              <w:spacing w:after="60"/>
            </w:pPr>
            <w:r>
              <w:rPr>
                <w:b/>
                <w:color w:val="007180"/>
                <w:sz w:val="22"/>
              </w:rPr>
              <w:t>Important boundary</w:t>
              <w:br/>
            </w:r>
            <w:r>
              <w:rPr>
                <w:sz w:val="20"/>
              </w:rPr>
              <w:t>The platform should guide and coordinate the journey; it should not promise a claim will be approved, invent benefit rules, or treat a payment initiation as proof that money has settled.</w:t>
            </w:r>
          </w:p>
        </w:tc>
      </w:tr>
    </w:tbl>
    <w:p>
      <w:pPr>
        <w:spacing w:after="20"/>
      </w:pPr>
    </w:p>
    <w:p>
      <w:pPr>
        <w:pStyle w:val="Heading1"/>
      </w:pPr>
      <w:r>
        <w:t>5. Intelligent features and differentiation</w:t>
      </w:r>
    </w:p>
    <w:p>
      <w:pPr>
        <w:pStyle w:val="Heading2"/>
      </w:pPr>
      <w:r>
        <w:t>5.1 Guided funeral journey</w:t>
      </w:r>
    </w:p>
    <w:p>
      <w:r>
        <w:t>A guided workflow should ask a small number of essential questions, then generate a tailored checklist based on the circumstances. A society benefit, formal insurance claim and self-funded funeral can have different requirements. The product should distinguish them.</w:t>
      </w:r>
    </w:p>
    <w:p>
      <w:pPr>
        <w:pStyle w:val="Heading2"/>
      </w:pPr>
      <w:r>
        <w:t>5.2 Secure funeral document wallet</w:t>
      </w:r>
    </w:p>
    <w:p>
      <w:r>
        <w:t>Store and organise relevant documents with purpose-specific sharing, access logs, clear permissions and retention controls. The system can identify missing documents for a specific workflow rather than merely storing files.</w:t>
      </w:r>
    </w:p>
    <w:p>
      <w:pPr>
        <w:pStyle w:val="Heading2"/>
      </w:pPr>
      <w:r>
        <w:t>5.3 Transparent marketplace</w:t>
      </w:r>
    </w:p>
    <w:p>
      <w:r>
        <w:t>Allow participating parlours to list packages and services, and help families compare itemised quotations. Show inclusions, exclusions, optional extras, service areas and payment terms so users can compare like-for-like offers.</w:t>
      </w:r>
    </w:p>
    <w:p>
      <w:pPr>
        <w:pStyle w:val="Heading2"/>
      </w:pPr>
      <w:r>
        <w:t>5.4 Payment coordination</w:t>
      </w:r>
    </w:p>
    <w:p>
      <w:r>
        <w:t>Link payments to a clearly identified recipient and a specific contribution, invoice or order. Show the difference between payment initiated, pending, confirmed, failed and refunded. Prevent duplicate posting and reconcile payments to the correct account. Initially use approved payment providers and avoid taking custody of funds.</w:t>
      </w:r>
    </w:p>
    <w:p>
      <w:pPr>
        <w:pStyle w:val="Heading2"/>
      </w:pPr>
      <w:r>
        <w:t>5.5 Family coordination</w:t>
      </w:r>
    </w:p>
    <w:p>
      <w:r>
        <w:t>Let a family invite selected relatives, assign tasks, share approved documents, track dates and record decisions. Keep family coordination separate from the society’s confidential committee and financial records.</w:t>
      </w:r>
    </w:p>
    <w:p>
      <w:pPr>
        <w:pStyle w:val="Heading2"/>
      </w:pPr>
      <w:r>
        <w:t>5.6 Funeral assistant</w:t>
      </w:r>
    </w:p>
    <w:p>
      <w:r>
        <w:t>A future assistant could answer questions in plain language, explain the next steps, retrieve authorised society rules, identify missing documents and help initiate workflows. It should state uncertainty clearly, cite the relevant rules where possible and route decisions to authorised people.</w:t>
      </w:r>
    </w:p>
    <w:p>
      <w:pPr>
        <w:pStyle w:val="Heading2"/>
      </w:pPr>
      <w:r>
        <w:t>5.7 Additional high-value intelligence</w:t>
      </w:r>
    </w:p>
    <w:tbl>
      <w:tblPr>
        <w:tblStyle w:val="LightShading-Accent1"/>
        <w:tblW w:type="auto" w:w="0"/>
        <w:tblLook w:firstColumn="1" w:firstRow="1" w:lastColumn="0" w:lastRow="0" w:noHBand="0" w:noVBand="1" w:val="04A0"/>
      </w:tblPr>
      <w:tblGrid>
        <w:gridCol w:w="3312"/>
        <w:gridCol w:w="3312"/>
        <w:gridCol w:w="3312"/>
      </w:tblGrid>
      <w:tr>
        <w:tc>
          <w:tcPr>
            <w:tcW w:type="dxa" w:w="3312"/>
            <w:vAlign w:val="center"/>
            <w:shd w:fill="18394E"/>
          </w:tcPr>
          <w:p>
            <w:pPr>
              <w:spacing w:after="40"/>
            </w:pPr>
            <w:r/>
            <w:r>
              <w:rPr>
                <w:rFonts w:ascii="Aptos" w:hAnsi="Aptos"/>
                <w:b/>
                <w:color w:val="FFFFFF"/>
                <w:sz w:val="18"/>
              </w:rPr>
              <w:t>Capability</w:t>
            </w:r>
          </w:p>
        </w:tc>
        <w:tc>
          <w:tcPr>
            <w:tcW w:type="dxa" w:w="3312"/>
            <w:vAlign w:val="center"/>
            <w:shd w:fill="18394E"/>
          </w:tcPr>
          <w:p>
            <w:pPr>
              <w:spacing w:after="40"/>
            </w:pPr>
            <w:r/>
            <w:r>
              <w:rPr>
                <w:rFonts w:ascii="Aptos" w:hAnsi="Aptos"/>
                <w:b/>
                <w:color w:val="FFFFFF"/>
                <w:sz w:val="18"/>
              </w:rPr>
              <w:t>Example</w:t>
            </w:r>
          </w:p>
        </w:tc>
        <w:tc>
          <w:tcPr>
            <w:tcW w:type="dxa" w:w="3312"/>
            <w:vAlign w:val="center"/>
            <w:shd w:fill="18394E"/>
          </w:tcPr>
          <w:p>
            <w:pPr>
              <w:spacing w:after="40"/>
            </w:pPr>
            <w:r/>
            <w:r>
              <w:rPr>
                <w:rFonts w:ascii="Aptos" w:hAnsi="Aptos"/>
                <w:b/>
                <w:color w:val="FFFFFF"/>
                <w:sz w:val="18"/>
              </w:rPr>
              <w:t>Value</w:t>
            </w:r>
          </w:p>
        </w:tc>
      </w:tr>
      <w:tr>
        <w:tc>
          <w:tcPr>
            <w:tcW w:type="dxa" w:w="3312"/>
            <w:vAlign w:val="center"/>
          </w:tcPr>
          <w:p>
            <w:pPr>
              <w:spacing w:after="40"/>
            </w:pPr>
            <w:r/>
            <w:r>
              <w:rPr>
                <w:rFonts w:ascii="Aptos" w:hAnsi="Aptos"/>
                <w:b w:val="0"/>
                <w:sz w:val="18"/>
              </w:rPr>
              <w:t>Rules engine</w:t>
            </w:r>
          </w:p>
        </w:tc>
        <w:tc>
          <w:tcPr>
            <w:tcW w:type="dxa" w:w="3312"/>
            <w:vAlign w:val="center"/>
          </w:tcPr>
          <w:p>
            <w:pPr>
              <w:spacing w:after="40"/>
            </w:pPr>
            <w:r/>
            <w:r>
              <w:rPr>
                <w:rFonts w:ascii="Aptos" w:hAnsi="Aptos"/>
                <w:b w:val="0"/>
                <w:sz w:val="18"/>
              </w:rPr>
              <w:t>Check whether contribution records meet a society’s configured eligibility criteria.</w:t>
            </w:r>
          </w:p>
        </w:tc>
        <w:tc>
          <w:tcPr>
            <w:tcW w:type="dxa" w:w="3312"/>
            <w:vAlign w:val="center"/>
          </w:tcPr>
          <w:p>
            <w:pPr>
              <w:spacing w:after="40"/>
            </w:pPr>
            <w:r/>
            <w:r>
              <w:rPr>
                <w:rFonts w:ascii="Aptos" w:hAnsi="Aptos"/>
                <w:b w:val="0"/>
                <w:sz w:val="18"/>
              </w:rPr>
              <w:t>Fewer manual checks; explainable results.</w:t>
            </w:r>
          </w:p>
        </w:tc>
      </w:tr>
      <w:tr>
        <w:tc>
          <w:tcPr>
            <w:tcW w:type="dxa" w:w="3312"/>
            <w:vAlign w:val="center"/>
          </w:tcPr>
          <w:p>
            <w:pPr>
              <w:spacing w:after="40"/>
            </w:pPr>
            <w:r/>
            <w:r>
              <w:rPr>
                <w:rFonts w:ascii="Aptos" w:hAnsi="Aptos"/>
                <w:b w:val="0"/>
                <w:sz w:val="18"/>
              </w:rPr>
              <w:t>Event-driven automation</w:t>
            </w:r>
          </w:p>
        </w:tc>
        <w:tc>
          <w:tcPr>
            <w:tcW w:type="dxa" w:w="3312"/>
            <w:vAlign w:val="center"/>
          </w:tcPr>
          <w:p>
            <w:pPr>
              <w:spacing w:after="40"/>
            </w:pPr>
            <w:r/>
            <w:r>
              <w:rPr>
                <w:rFonts w:ascii="Aptos" w:hAnsi="Aptos"/>
                <w:b w:val="0"/>
                <w:sz w:val="18"/>
              </w:rPr>
              <w:t>A death report triggers the relevant checklist and notifications.</w:t>
            </w:r>
          </w:p>
        </w:tc>
        <w:tc>
          <w:tcPr>
            <w:tcW w:type="dxa" w:w="3312"/>
            <w:vAlign w:val="center"/>
          </w:tcPr>
          <w:p>
            <w:pPr>
              <w:spacing w:after="40"/>
            </w:pPr>
            <w:r/>
            <w:r>
              <w:rPr>
                <w:rFonts w:ascii="Aptos" w:hAnsi="Aptos"/>
                <w:b w:val="0"/>
                <w:sz w:val="18"/>
              </w:rPr>
              <w:t>Less repetitive administration.</w:t>
            </w:r>
          </w:p>
        </w:tc>
      </w:tr>
      <w:tr>
        <w:tc>
          <w:tcPr>
            <w:tcW w:type="dxa" w:w="3312"/>
            <w:vAlign w:val="center"/>
          </w:tcPr>
          <w:p>
            <w:pPr>
              <w:spacing w:after="40"/>
            </w:pPr>
            <w:r/>
            <w:r>
              <w:rPr>
                <w:rFonts w:ascii="Aptos" w:hAnsi="Aptos"/>
                <w:b w:val="0"/>
                <w:sz w:val="18"/>
              </w:rPr>
              <w:t>Payment matching</w:t>
            </w:r>
          </w:p>
        </w:tc>
        <w:tc>
          <w:tcPr>
            <w:tcW w:type="dxa" w:w="3312"/>
            <w:vAlign w:val="center"/>
          </w:tcPr>
          <w:p>
            <w:pPr>
              <w:spacing w:after="40"/>
            </w:pPr>
            <w:r/>
            <w:r>
              <w:rPr>
                <w:rFonts w:ascii="Aptos" w:hAnsi="Aptos"/>
                <w:b w:val="0"/>
                <w:sz w:val="18"/>
              </w:rPr>
              <w:t>Match bank transactions to members or invoices using reference, date and amount.</w:t>
            </w:r>
          </w:p>
        </w:tc>
        <w:tc>
          <w:tcPr>
            <w:tcW w:type="dxa" w:w="3312"/>
            <w:vAlign w:val="center"/>
          </w:tcPr>
          <w:p>
            <w:pPr>
              <w:spacing w:after="40"/>
            </w:pPr>
            <w:r/>
            <w:r>
              <w:rPr>
                <w:rFonts w:ascii="Aptos" w:hAnsi="Aptos"/>
                <w:b w:val="0"/>
                <w:sz w:val="18"/>
              </w:rPr>
              <w:t>Better financial accuracy.</w:t>
            </w:r>
          </w:p>
        </w:tc>
      </w:tr>
      <w:tr>
        <w:tc>
          <w:tcPr>
            <w:tcW w:type="dxa" w:w="3312"/>
            <w:vAlign w:val="center"/>
          </w:tcPr>
          <w:p>
            <w:pPr>
              <w:spacing w:after="40"/>
            </w:pPr>
            <w:r/>
            <w:r>
              <w:rPr>
                <w:rFonts w:ascii="Aptos" w:hAnsi="Aptos"/>
                <w:b w:val="0"/>
                <w:sz w:val="18"/>
              </w:rPr>
              <w:t>Exception detection</w:t>
            </w:r>
          </w:p>
        </w:tc>
        <w:tc>
          <w:tcPr>
            <w:tcW w:type="dxa" w:w="3312"/>
            <w:vAlign w:val="center"/>
          </w:tcPr>
          <w:p>
            <w:pPr>
              <w:spacing w:after="40"/>
            </w:pPr>
            <w:r/>
            <w:r>
              <w:rPr>
                <w:rFonts w:ascii="Aptos" w:hAnsi="Aptos"/>
                <w:b w:val="0"/>
                <w:sz w:val="18"/>
              </w:rPr>
              <w:t>Flag duplicate payments, unmatched deposits or unusual changes.</w:t>
            </w:r>
          </w:p>
        </w:tc>
        <w:tc>
          <w:tcPr>
            <w:tcW w:type="dxa" w:w="3312"/>
            <w:vAlign w:val="center"/>
          </w:tcPr>
          <w:p>
            <w:pPr>
              <w:spacing w:after="40"/>
            </w:pPr>
            <w:r/>
            <w:r>
              <w:rPr>
                <w:rFonts w:ascii="Aptos" w:hAnsi="Aptos"/>
                <w:b w:val="0"/>
                <w:sz w:val="18"/>
              </w:rPr>
              <w:t>Earlier review of errors and potential misuse.</w:t>
            </w:r>
          </w:p>
        </w:tc>
      </w:tr>
      <w:tr>
        <w:tc>
          <w:tcPr>
            <w:tcW w:type="dxa" w:w="3312"/>
            <w:vAlign w:val="center"/>
          </w:tcPr>
          <w:p>
            <w:pPr>
              <w:spacing w:after="40"/>
            </w:pPr>
            <w:r/>
            <w:r>
              <w:rPr>
                <w:rFonts w:ascii="Aptos" w:hAnsi="Aptos"/>
                <w:b w:val="0"/>
                <w:sz w:val="18"/>
              </w:rPr>
              <w:t>Next-best-action guidance</w:t>
            </w:r>
          </w:p>
        </w:tc>
        <w:tc>
          <w:tcPr>
            <w:tcW w:type="dxa" w:w="3312"/>
            <w:vAlign w:val="center"/>
          </w:tcPr>
          <w:p>
            <w:pPr>
              <w:spacing w:after="40"/>
            </w:pPr>
            <w:r/>
            <w:r>
              <w:rPr>
                <w:rFonts w:ascii="Aptos" w:hAnsi="Aptos"/>
                <w:b w:val="0"/>
                <w:sz w:val="18"/>
              </w:rPr>
              <w:t>Show that a case is waiting for a document or approval.</w:t>
            </w:r>
          </w:p>
        </w:tc>
        <w:tc>
          <w:tcPr>
            <w:tcW w:type="dxa" w:w="3312"/>
            <w:vAlign w:val="center"/>
          </w:tcPr>
          <w:p>
            <w:pPr>
              <w:spacing w:after="40"/>
            </w:pPr>
            <w:r/>
            <w:r>
              <w:rPr>
                <w:rFonts w:ascii="Aptos" w:hAnsi="Aptos"/>
                <w:b w:val="0"/>
                <w:sz w:val="18"/>
              </w:rPr>
              <w:t>Fewer stalled cases.</w:t>
            </w:r>
          </w:p>
        </w:tc>
      </w:tr>
    </w:tbl>
    <w:p>
      <w:pPr>
        <w:spacing w:after="20"/>
      </w:pPr>
    </w:p>
    <w:p>
      <w:pPr>
        <w:pStyle w:val="Heading2"/>
      </w:pPr>
      <w:r>
        <w:t>5.8 Make trust visible</w:t>
      </w:r>
    </w:p>
    <w:p>
      <w:pPr>
        <w:pStyle w:val="ListBullet"/>
        <w:spacing w:after="60"/>
      </w:pPr>
      <w:r>
        <w:t>Record who made each material change, when it happened and why where appropriate.</w:t>
      </w:r>
    </w:p>
    <w:p>
      <w:pPr>
        <w:pStyle w:val="ListBullet"/>
        <w:spacing w:after="60"/>
      </w:pPr>
      <w:r>
        <w:t>Preserve a history of changes, approvals, reversals and corrections.</w:t>
      </w:r>
    </w:p>
    <w:p>
      <w:pPr>
        <w:pStyle w:val="ListBullet"/>
        <w:spacing w:after="60"/>
      </w:pPr>
      <w:r>
        <w:t>Allow members to verify their own contribution records.</w:t>
      </w:r>
    </w:p>
    <w:p>
      <w:pPr>
        <w:pStyle w:val="ListBullet"/>
        <w:spacing w:after="60"/>
      </w:pPr>
      <w:r>
        <w:t>Use role-based access and least-privilege permissions.</w:t>
      </w:r>
    </w:p>
    <w:p>
      <w:pPr>
        <w:pStyle w:val="ListBullet"/>
        <w:spacing w:after="60"/>
      </w:pPr>
      <w:r>
        <w:t>Explain the basis for alerts and eligibility flags.</w:t>
      </w:r>
    </w:p>
    <w:p>
      <w:pPr>
        <w:pStyle w:val="ListBullet"/>
        <w:spacing w:after="60"/>
      </w:pPr>
      <w:r>
        <w:t>Provide an escalation path for disputes and exceptions.</w:t>
      </w:r>
    </w:p>
    <w:p>
      <w:pPr>
        <w:pStyle w:val="Heading1"/>
      </w:pPr>
      <w:r>
        <w:t>6. Where the intelligence should sit</w:t>
      </w:r>
    </w:p>
    <w:p>
      <w:r>
        <w:t>Do not make artificial intelligence the centre of the first release. The most valuable early intelligence will come from accurate records, configurable rules and dependable automation. AI can be introduced later as a guided interface on top of those foundations.</w:t>
      </w:r>
    </w:p>
    <w:tbl>
      <w:tblPr>
        <w:tblW w:type="auto" w:w="0"/>
        <w:tblLayout w:type="autofit"/>
        <w:tblLook w:firstColumn="1" w:firstRow="1" w:lastColumn="0" w:lastRow="0" w:noHBand="0" w:noVBand="1" w:val="04A0"/>
      </w:tblPr>
      <w:tblGrid>
        <w:gridCol w:w="9936"/>
      </w:tblGrid>
      <w:tr>
        <w:tc>
          <w:tcPr>
            <w:tcW w:type="dxa" w:w="9936"/>
            <w:shd w:fill="EAF4F5"/>
          </w:tcPr>
          <w:p>
            <w:pPr>
              <w:spacing w:after="60"/>
            </w:pPr>
            <w:r>
              <w:rPr>
                <w:b/>
                <w:color w:val="007180"/>
                <w:sz w:val="22"/>
              </w:rPr>
              <w:t>Product principle</w:t>
              <w:br/>
            </w:r>
            <w:r>
              <w:rPr>
                <w:sz w:val="20"/>
              </w:rPr>
              <w:t>Make the platform simple on the surface and rigorous underneath: easy steps for users, accurate records, explicit permissions and explainable outcomes.</w:t>
            </w:r>
          </w:p>
        </w:tc>
      </w:tr>
    </w:tbl>
    <w:p>
      <w:pPr>
        <w:spacing w:after="20"/>
      </w:pPr>
    </w:p>
    <w:p>
      <w:pPr>
        <w:pStyle w:val="Heading1"/>
      </w:pPr>
      <w:r>
        <w:t>7. Competitor landscape and implications</w:t>
      </w:r>
    </w:p>
    <w:p>
      <w:r>
        <w:t>The competitor review identified existing products that advertise overlapping features. This means the opportunity is not simply to digitise member registration or add a payment button. The stronger proposition is a connected, funeral-specific journey across societies, parlours and families.</w:t>
      </w:r>
    </w:p>
    <w:tbl>
      <w:tblPr>
        <w:tblStyle w:val="LightShading-Accent1"/>
        <w:tblW w:type="auto" w:w="0"/>
        <w:tblLook w:firstColumn="1" w:firstRow="1" w:lastColumn="0" w:lastRow="0" w:noHBand="0" w:noVBand="1" w:val="04A0"/>
      </w:tblPr>
      <w:tblGrid>
        <w:gridCol w:w="3312"/>
        <w:gridCol w:w="3312"/>
        <w:gridCol w:w="3312"/>
      </w:tblGrid>
      <w:tr>
        <w:tc>
          <w:tcPr>
            <w:tcW w:type="dxa" w:w="3312"/>
            <w:vAlign w:val="center"/>
            <w:shd w:fill="18394E"/>
          </w:tcPr>
          <w:p>
            <w:pPr>
              <w:spacing w:after="40"/>
            </w:pPr>
            <w:r/>
            <w:r>
              <w:rPr>
                <w:rFonts w:ascii="Aptos" w:hAnsi="Aptos"/>
                <w:b/>
                <w:color w:val="FFFFFF"/>
                <w:sz w:val="18"/>
              </w:rPr>
              <w:t>Competitor / alternative</w:t>
            </w:r>
          </w:p>
        </w:tc>
        <w:tc>
          <w:tcPr>
            <w:tcW w:type="dxa" w:w="3312"/>
            <w:vAlign w:val="center"/>
            <w:shd w:fill="18394E"/>
          </w:tcPr>
          <w:p>
            <w:pPr>
              <w:spacing w:after="40"/>
            </w:pPr>
            <w:r/>
            <w:r>
              <w:rPr>
                <w:rFonts w:ascii="Aptos" w:hAnsi="Aptos"/>
                <w:b/>
                <w:color w:val="FFFFFF"/>
                <w:sz w:val="18"/>
              </w:rPr>
              <w:t>Advertised or common focus</w:t>
            </w:r>
          </w:p>
        </w:tc>
        <w:tc>
          <w:tcPr>
            <w:tcW w:type="dxa" w:w="3312"/>
            <w:vAlign w:val="center"/>
            <w:shd w:fill="18394E"/>
          </w:tcPr>
          <w:p>
            <w:pPr>
              <w:spacing w:after="40"/>
            </w:pPr>
            <w:r/>
            <w:r>
              <w:rPr>
                <w:rFonts w:ascii="Aptos" w:hAnsi="Aptos"/>
                <w:b/>
                <w:color w:val="FFFFFF"/>
                <w:sz w:val="18"/>
              </w:rPr>
              <w:t>Implication for Funeral Spaces</w:t>
            </w:r>
          </w:p>
        </w:tc>
      </w:tr>
      <w:tr>
        <w:tc>
          <w:tcPr>
            <w:tcW w:type="dxa" w:w="3312"/>
            <w:vAlign w:val="center"/>
          </w:tcPr>
          <w:p>
            <w:pPr>
              <w:spacing w:after="40"/>
            </w:pPr>
            <w:r/>
            <w:r>
              <w:rPr>
                <w:rFonts w:ascii="Aptos" w:hAnsi="Aptos"/>
                <w:b w:val="0"/>
                <w:sz w:val="18"/>
              </w:rPr>
              <w:t>StokFella</w:t>
            </w:r>
          </w:p>
        </w:tc>
        <w:tc>
          <w:tcPr>
            <w:tcW w:type="dxa" w:w="3312"/>
            <w:vAlign w:val="center"/>
          </w:tcPr>
          <w:p>
            <w:pPr>
              <w:spacing w:after="40"/>
            </w:pPr>
            <w:r/>
            <w:r>
              <w:rPr>
                <w:rFonts w:ascii="Aptos" w:hAnsi="Aptos"/>
                <w:b w:val="0"/>
                <w:sz w:val="18"/>
              </w:rPr>
              <w:t>Stokvel administration, member and financial features, and related services.</w:t>
            </w:r>
          </w:p>
        </w:tc>
        <w:tc>
          <w:tcPr>
            <w:tcW w:type="dxa" w:w="3312"/>
            <w:vAlign w:val="center"/>
          </w:tcPr>
          <w:p>
            <w:pPr>
              <w:spacing w:after="40"/>
            </w:pPr>
            <w:r/>
            <w:r>
              <w:rPr>
                <w:rFonts w:ascii="Aptos" w:hAnsi="Aptos"/>
                <w:b w:val="0"/>
                <w:sz w:val="18"/>
              </w:rPr>
              <w:t>Differentiate on funeral workflows and cross-organisation case coordination.</w:t>
            </w:r>
          </w:p>
        </w:tc>
      </w:tr>
      <w:tr>
        <w:tc>
          <w:tcPr>
            <w:tcW w:type="dxa" w:w="3312"/>
            <w:vAlign w:val="center"/>
          </w:tcPr>
          <w:p>
            <w:pPr>
              <w:spacing w:after="40"/>
            </w:pPr>
            <w:r/>
            <w:r>
              <w:rPr>
                <w:rFonts w:ascii="Aptos" w:hAnsi="Aptos"/>
                <w:b w:val="0"/>
                <w:sz w:val="18"/>
              </w:rPr>
              <w:t>Sisonke</w:t>
            </w:r>
          </w:p>
        </w:tc>
        <w:tc>
          <w:tcPr>
            <w:tcW w:type="dxa" w:w="3312"/>
            <w:vAlign w:val="center"/>
          </w:tcPr>
          <w:p>
            <w:pPr>
              <w:spacing w:after="40"/>
            </w:pPr>
            <w:r/>
            <w:r>
              <w:rPr>
                <w:rFonts w:ascii="Aptos" w:hAnsi="Aptos"/>
                <w:b w:val="0"/>
                <w:sz w:val="18"/>
              </w:rPr>
              <w:t>Burial society administration, covered lives, claims, approvals and reporting.</w:t>
            </w:r>
          </w:p>
        </w:tc>
        <w:tc>
          <w:tcPr>
            <w:tcW w:type="dxa" w:w="3312"/>
            <w:vAlign w:val="center"/>
          </w:tcPr>
          <w:p>
            <w:pPr>
              <w:spacing w:after="40"/>
            </w:pPr>
            <w:r/>
            <w:r>
              <w:rPr>
                <w:rFonts w:ascii="Aptos" w:hAnsi="Aptos"/>
                <w:b w:val="0"/>
                <w:sz w:val="18"/>
              </w:rPr>
              <w:t>Basic society features are not enough; deliver superior usability and connected journeys.</w:t>
            </w:r>
          </w:p>
        </w:tc>
      </w:tr>
      <w:tr>
        <w:tc>
          <w:tcPr>
            <w:tcW w:type="dxa" w:w="3312"/>
            <w:vAlign w:val="center"/>
          </w:tcPr>
          <w:p>
            <w:pPr>
              <w:spacing w:after="40"/>
            </w:pPr>
            <w:r/>
            <w:r>
              <w:rPr>
                <w:rFonts w:ascii="Aptos" w:hAnsi="Aptos"/>
                <w:b w:val="0"/>
                <w:sz w:val="18"/>
              </w:rPr>
              <w:t>Stok-Vel</w:t>
            </w:r>
          </w:p>
        </w:tc>
        <w:tc>
          <w:tcPr>
            <w:tcW w:type="dxa" w:w="3312"/>
            <w:vAlign w:val="center"/>
          </w:tcPr>
          <w:p>
            <w:pPr>
              <w:spacing w:after="40"/>
            </w:pPr>
            <w:r/>
            <w:r>
              <w:rPr>
                <w:rFonts w:ascii="Aptos" w:hAnsi="Aptos"/>
                <w:b w:val="0"/>
                <w:sz w:val="18"/>
              </w:rPr>
              <w:t>Society records, contributions, roles and audit trails.</w:t>
            </w:r>
          </w:p>
        </w:tc>
        <w:tc>
          <w:tcPr>
            <w:tcW w:type="dxa" w:w="3312"/>
            <w:vAlign w:val="center"/>
          </w:tcPr>
          <w:p>
            <w:pPr>
              <w:spacing w:after="40"/>
            </w:pPr>
            <w:r/>
            <w:r>
              <w:rPr>
                <w:rFonts w:ascii="Aptos" w:hAnsi="Aptos"/>
                <w:b w:val="0"/>
                <w:sz w:val="18"/>
              </w:rPr>
              <w:t>Keeping funds in the society’s own bank account is helpful but not unique.</w:t>
            </w:r>
          </w:p>
        </w:tc>
      </w:tr>
      <w:tr>
        <w:tc>
          <w:tcPr>
            <w:tcW w:type="dxa" w:w="3312"/>
            <w:vAlign w:val="center"/>
          </w:tcPr>
          <w:p>
            <w:pPr>
              <w:spacing w:after="40"/>
            </w:pPr>
            <w:r/>
            <w:r>
              <w:rPr>
                <w:rFonts w:ascii="Aptos" w:hAnsi="Aptos"/>
                <w:b w:val="0"/>
                <w:sz w:val="18"/>
              </w:rPr>
              <w:t>Tlhakiso Stokvel</w:t>
            </w:r>
          </w:p>
        </w:tc>
        <w:tc>
          <w:tcPr>
            <w:tcW w:type="dxa" w:w="3312"/>
            <w:vAlign w:val="center"/>
          </w:tcPr>
          <w:p>
            <w:pPr>
              <w:spacing w:after="40"/>
            </w:pPr>
            <w:r/>
            <w:r>
              <w:rPr>
                <w:rFonts w:ascii="Aptos" w:hAnsi="Aptos"/>
                <w:b w:val="0"/>
                <w:sz w:val="18"/>
              </w:rPr>
              <w:t>Contributions, covered family, waiting periods, claims and reconciliation features.</w:t>
            </w:r>
          </w:p>
        </w:tc>
        <w:tc>
          <w:tcPr>
            <w:tcW w:type="dxa" w:w="3312"/>
            <w:vAlign w:val="center"/>
          </w:tcPr>
          <w:p>
            <w:pPr>
              <w:spacing w:after="40"/>
            </w:pPr>
            <w:r/>
            <w:r>
              <w:rPr>
                <w:rFonts w:ascii="Aptos" w:hAnsi="Aptos"/>
                <w:b w:val="0"/>
                <w:sz w:val="18"/>
              </w:rPr>
              <w:t>Test whether your proposed workflows are materially easier and more reliable.</w:t>
            </w:r>
          </w:p>
        </w:tc>
      </w:tr>
      <w:tr>
        <w:tc>
          <w:tcPr>
            <w:tcW w:type="dxa" w:w="3312"/>
            <w:vAlign w:val="center"/>
          </w:tcPr>
          <w:p>
            <w:pPr>
              <w:spacing w:after="40"/>
            </w:pPr>
            <w:r/>
            <w:r>
              <w:rPr>
                <w:rFonts w:ascii="Aptos" w:hAnsi="Aptos"/>
                <w:b w:val="0"/>
                <w:sz w:val="18"/>
              </w:rPr>
              <w:t>WhatsApp, spreadsheets and paper</w:t>
            </w:r>
          </w:p>
        </w:tc>
        <w:tc>
          <w:tcPr>
            <w:tcW w:type="dxa" w:w="3312"/>
            <w:vAlign w:val="center"/>
          </w:tcPr>
          <w:p>
            <w:pPr>
              <w:spacing w:after="40"/>
            </w:pPr>
            <w:r/>
            <w:r>
              <w:rPr>
                <w:rFonts w:ascii="Aptos" w:hAnsi="Aptos"/>
                <w:b w:val="0"/>
                <w:sz w:val="18"/>
              </w:rPr>
              <w:t>Familiar, low-cost communication and record-keeping.</w:t>
            </w:r>
          </w:p>
        </w:tc>
        <w:tc>
          <w:tcPr>
            <w:tcW w:type="dxa" w:w="3312"/>
            <w:vAlign w:val="center"/>
          </w:tcPr>
          <w:p>
            <w:pPr>
              <w:spacing w:after="40"/>
            </w:pPr>
            <w:r/>
            <w:r>
              <w:rPr>
                <w:rFonts w:ascii="Aptos" w:hAnsi="Aptos"/>
                <w:b w:val="0"/>
                <w:sz w:val="18"/>
              </w:rPr>
              <w:t>Make the product easier to adopt and demonstrably more accurate.</w:t>
            </w:r>
          </w:p>
        </w:tc>
      </w:tr>
      <w:tr>
        <w:tc>
          <w:tcPr>
            <w:tcW w:type="dxa" w:w="3312"/>
            <w:vAlign w:val="center"/>
          </w:tcPr>
          <w:p>
            <w:pPr>
              <w:spacing w:after="40"/>
            </w:pPr>
            <w:r/>
            <w:r>
              <w:rPr>
                <w:rFonts w:ascii="Aptos" w:hAnsi="Aptos"/>
                <w:b w:val="0"/>
                <w:sz w:val="18"/>
              </w:rPr>
              <w:t>Funeral marketplaces and parlour systems</w:t>
            </w:r>
          </w:p>
        </w:tc>
        <w:tc>
          <w:tcPr>
            <w:tcW w:type="dxa" w:w="3312"/>
            <w:vAlign w:val="center"/>
          </w:tcPr>
          <w:p>
            <w:pPr>
              <w:spacing w:after="40"/>
            </w:pPr>
            <w:r/>
            <w:r>
              <w:rPr>
                <w:rFonts w:ascii="Aptos" w:hAnsi="Aptos"/>
                <w:b w:val="0"/>
                <w:sz w:val="18"/>
              </w:rPr>
              <w:t>Service discovery, packages, payments, customer portals or operational management.</w:t>
            </w:r>
          </w:p>
        </w:tc>
        <w:tc>
          <w:tcPr>
            <w:tcW w:type="dxa" w:w="3312"/>
            <w:vAlign w:val="center"/>
          </w:tcPr>
          <w:p>
            <w:pPr>
              <w:spacing w:after="40"/>
            </w:pPr>
            <w:r/>
            <w:r>
              <w:rPr>
                <w:rFonts w:ascii="Aptos" w:hAnsi="Aptos"/>
                <w:b w:val="0"/>
                <w:sz w:val="18"/>
              </w:rPr>
              <w:t>Connect discovery and booking to society eligibility, claims and family coordination.</w:t>
            </w:r>
          </w:p>
        </w:tc>
      </w:tr>
    </w:tbl>
    <w:p>
      <w:pPr>
        <w:spacing w:after="20"/>
      </w:pPr>
    </w:p>
    <w:p>
      <w:r>
        <w:t>Competitor features and pricing change. Treat this table as an initial research snapshot, not an exhaustive or independently audited comparison. Verify each vendor’s current functionality, customer base, pricing and service availability before making investment decisions.</w:t>
      </w:r>
    </w:p>
    <w:p>
      <w:pPr>
        <w:pStyle w:val="Heading1"/>
      </w:pPr>
      <w:r>
        <w:t>8. Recommended MVP and rollout roadmap</w:t>
      </w:r>
    </w:p>
    <w:p>
      <w:pPr>
        <w:pStyle w:val="Heading2"/>
      </w:pPr>
      <w:r>
        <w:t>Phase 1 — Society Space foundation</w:t>
      </w:r>
    </w:p>
    <w:p>
      <w:pPr>
        <w:pStyle w:val="ListBullet"/>
        <w:spacing w:after="60"/>
      </w:pPr>
      <w:r>
        <w:t>Society setup and configurable rules.</w:t>
      </w:r>
    </w:p>
    <w:p>
      <w:pPr>
        <w:pStyle w:val="ListBullet"/>
        <w:spacing w:after="60"/>
      </w:pPr>
      <w:r>
        <w:t>Member and covered-lives register.</w:t>
      </w:r>
    </w:p>
    <w:p>
      <w:pPr>
        <w:pStyle w:val="ListBullet"/>
        <w:spacing w:after="60"/>
      </w:pPr>
      <w:r>
        <w:t>Contribution schedules, manual capture, receipts and arrears.</w:t>
      </w:r>
    </w:p>
    <w:p>
      <w:pPr>
        <w:pStyle w:val="ListBullet"/>
        <w:spacing w:after="60"/>
      </w:pPr>
      <w:r>
        <w:t>Bank statement import and reconciliation.</w:t>
      </w:r>
    </w:p>
    <w:p>
      <w:pPr>
        <w:pStyle w:val="ListBullet"/>
        <w:spacing w:after="60"/>
      </w:pPr>
      <w:r>
        <w:t>Committee roles and recorded withdrawal approvals.</w:t>
      </w:r>
    </w:p>
    <w:p>
      <w:pPr>
        <w:pStyle w:val="ListBullet"/>
        <w:spacing w:after="60"/>
      </w:pPr>
      <w:r>
        <w:t>Basic funeral notification, claim checklist and status tracking.</w:t>
      </w:r>
    </w:p>
    <w:p>
      <w:pPr>
        <w:pStyle w:val="ListBullet"/>
        <w:spacing w:after="60"/>
      </w:pPr>
      <w:r>
        <w:t>Monthly reports and audit history.</w:t>
      </w:r>
    </w:p>
    <w:p>
      <w:pPr>
        <w:pStyle w:val="Heading2"/>
      </w:pPr>
      <w:r>
        <w:t>Phase 2 — Parlour Space</w:t>
      </w:r>
    </w:p>
    <w:p>
      <w:pPr>
        <w:pStyle w:val="ListBullet"/>
        <w:spacing w:after="60"/>
      </w:pPr>
      <w:r>
        <w:t>Parlour profiles, service catalogues and packages.</w:t>
      </w:r>
    </w:p>
    <w:p>
      <w:pPr>
        <w:pStyle w:val="ListBullet"/>
        <w:spacing w:after="60"/>
      </w:pPr>
      <w:r>
        <w:t>Itemised quotations and customer approval.</w:t>
      </w:r>
    </w:p>
    <w:p>
      <w:pPr>
        <w:pStyle w:val="ListBullet"/>
        <w:spacing w:after="60"/>
      </w:pPr>
      <w:r>
        <w:t>Bookings, invoices, payment links and payment status.</w:t>
      </w:r>
    </w:p>
    <w:p>
      <w:pPr>
        <w:pStyle w:val="ListBullet"/>
        <w:spacing w:after="60"/>
      </w:pPr>
      <w:r>
        <w:t>Customer case management and basic supplier orders.</w:t>
      </w:r>
    </w:p>
    <w:p>
      <w:pPr>
        <w:pStyle w:val="Heading2"/>
      </w:pPr>
      <w:r>
        <w:t>Phase 3 — Family Space and cross-Space workflow</w:t>
      </w:r>
    </w:p>
    <w:p>
      <w:pPr>
        <w:pStyle w:val="ListBullet"/>
        <w:spacing w:after="60"/>
      </w:pPr>
      <w:r>
        <w:t>Shared funeral case with consent-based access.</w:t>
      </w:r>
    </w:p>
    <w:p>
      <w:pPr>
        <w:pStyle w:val="ListBullet"/>
        <w:spacing w:after="60"/>
      </w:pPr>
      <w:r>
        <w:t>Guided checklist, document sharing and task coordination.</w:t>
      </w:r>
    </w:p>
    <w:p>
      <w:pPr>
        <w:pStyle w:val="ListBullet"/>
        <w:spacing w:after="60"/>
      </w:pPr>
      <w:r>
        <w:t>Claim status and selected parlour connection.</w:t>
      </w:r>
    </w:p>
    <w:p>
      <w:pPr>
        <w:pStyle w:val="ListBullet"/>
        <w:spacing w:after="60"/>
      </w:pPr>
      <w:r>
        <w:t>Notifications and clear payment/booking status.</w:t>
      </w:r>
    </w:p>
    <w:p>
      <w:pPr>
        <w:pStyle w:val="Heading2"/>
      </w:pPr>
      <w:r>
        <w:t>Phase 4 — Marketplace and advanced automation</w:t>
      </w:r>
    </w:p>
    <w:p>
      <w:pPr>
        <w:pStyle w:val="ListBullet"/>
        <w:spacing w:after="60"/>
      </w:pPr>
      <w:r>
        <w:t>Supplier marketplace and broader provider discovery.</w:t>
      </w:r>
    </w:p>
    <w:p>
      <w:pPr>
        <w:pStyle w:val="ListBullet"/>
        <w:spacing w:after="60"/>
      </w:pPr>
      <w:r>
        <w:t>Bank or payment integrations where available and authorised.</w:t>
      </w:r>
    </w:p>
    <w:p>
      <w:pPr>
        <w:pStyle w:val="ListBullet"/>
        <w:spacing w:after="60"/>
      </w:pPr>
      <w:r>
        <w:t>Advanced reconciliation, exception detection and operational analytics.</w:t>
      </w:r>
    </w:p>
    <w:p>
      <w:pPr>
        <w:pStyle w:val="ListBullet"/>
        <w:spacing w:after="60"/>
      </w:pPr>
      <w:r>
        <w:t>AI assistant grounded in approved rules and reliable records.</w:t>
      </w:r>
    </w:p>
    <w:p>
      <w:pPr>
        <w:pStyle w:val="ListBullet"/>
        <w:spacing w:after="60"/>
      </w:pPr>
      <w:r>
        <w:t>Multi-branch and federation-level reporting where demand is proven.</w:t>
      </w:r>
    </w:p>
    <w:tbl>
      <w:tblPr>
        <w:tblW w:type="auto" w:w="0"/>
        <w:tblLayout w:type="autofit"/>
        <w:tblLook w:firstColumn="1" w:firstRow="1" w:lastColumn="0" w:lastRow="0" w:noHBand="0" w:noVBand="1" w:val="04A0"/>
      </w:tblPr>
      <w:tblGrid>
        <w:gridCol w:w="9936"/>
      </w:tblGrid>
      <w:tr>
        <w:tc>
          <w:tcPr>
            <w:tcW w:type="dxa" w:w="9936"/>
            <w:shd w:fill="EAF4F5"/>
          </w:tcPr>
          <w:p>
            <w:pPr>
              <w:spacing w:after="60"/>
            </w:pPr>
            <w:r>
              <w:rPr>
                <w:b/>
                <w:color w:val="007180"/>
                <w:sz w:val="22"/>
              </w:rPr>
              <w:t>MVP recommendation</w:t>
              <w:br/>
            </w:r>
            <w:r>
              <w:rPr>
                <w:sz w:val="20"/>
              </w:rPr>
              <w:t>Build the architecture to support connected Spaces, but do not launch all Spaces at once. Start with Society Space, then test one concrete cross-Space workflow: a member reports a death, the society’s records support the relevant claim process, and the family connects to a participating parlour without repeating the same information.</w:t>
            </w:r>
          </w:p>
        </w:tc>
      </w:tr>
    </w:tbl>
    <w:p>
      <w:pPr>
        <w:spacing w:after="20"/>
      </w:pPr>
    </w:p>
    <w:p>
      <w:pPr>
        <w:pStyle w:val="Heading1"/>
      </w:pPr>
      <w:r>
        <w:t>9. Business model and illustrative pricing</w:t>
      </w:r>
    </w:p>
    <w:p>
      <w:r>
        <w:t>The initial revenue model could be a subscription paid by the society or parlour, rather than by each member. A later model may include paid marketplace leads, supplier subscriptions or sponsored access, but any fees and rankings should be transparent.</w:t>
      </w:r>
    </w:p>
    <w:tbl>
      <w:tblPr>
        <w:tblStyle w:val="LightShading-Accent1"/>
        <w:tblW w:type="auto" w:w="0"/>
        <w:tblLook w:firstColumn="1" w:firstRow="1" w:lastColumn="0" w:lastRow="0" w:noHBand="0" w:noVBand="1" w:val="04A0"/>
      </w:tblPr>
      <w:tblGrid>
        <w:gridCol w:w="3312"/>
        <w:gridCol w:w="3312"/>
        <w:gridCol w:w="3312"/>
      </w:tblGrid>
      <w:tr>
        <w:tc>
          <w:tcPr>
            <w:tcW w:type="dxa" w:w="3312"/>
            <w:vAlign w:val="center"/>
            <w:shd w:fill="18394E"/>
          </w:tcPr>
          <w:p>
            <w:pPr>
              <w:spacing w:after="40"/>
            </w:pPr>
            <w:r/>
            <w:r>
              <w:rPr>
                <w:rFonts w:ascii="Aptos" w:hAnsi="Aptos"/>
                <w:b/>
                <w:color w:val="FFFFFF"/>
                <w:sz w:val="18"/>
              </w:rPr>
              <w:t>Illustrative tier</w:t>
            </w:r>
          </w:p>
        </w:tc>
        <w:tc>
          <w:tcPr>
            <w:tcW w:type="dxa" w:w="3312"/>
            <w:vAlign w:val="center"/>
            <w:shd w:fill="18394E"/>
          </w:tcPr>
          <w:p>
            <w:pPr>
              <w:spacing w:after="40"/>
            </w:pPr>
            <w:r/>
            <w:r>
              <w:rPr>
                <w:rFonts w:ascii="Aptos" w:hAnsi="Aptos"/>
                <w:b/>
                <w:color w:val="FFFFFF"/>
                <w:sz w:val="18"/>
              </w:rPr>
              <w:t>Hypothetical price</w:t>
            </w:r>
          </w:p>
        </w:tc>
        <w:tc>
          <w:tcPr>
            <w:tcW w:type="dxa" w:w="3312"/>
            <w:vAlign w:val="center"/>
            <w:shd w:fill="18394E"/>
          </w:tcPr>
          <w:p>
            <w:pPr>
              <w:spacing w:after="40"/>
            </w:pPr>
            <w:r/>
            <w:r>
              <w:rPr>
                <w:rFonts w:ascii="Aptos" w:hAnsi="Aptos"/>
                <w:b/>
                <w:color w:val="FFFFFF"/>
                <w:sz w:val="18"/>
              </w:rPr>
              <w:t>Possible scope</w:t>
            </w:r>
          </w:p>
        </w:tc>
      </w:tr>
      <w:tr>
        <w:tc>
          <w:tcPr>
            <w:tcW w:type="dxa" w:w="3312"/>
            <w:vAlign w:val="center"/>
          </w:tcPr>
          <w:p>
            <w:pPr>
              <w:spacing w:after="40"/>
            </w:pPr>
            <w:r/>
            <w:r>
              <w:rPr>
                <w:rFonts w:ascii="Aptos" w:hAnsi="Aptos"/>
                <w:b w:val="0"/>
                <w:sz w:val="18"/>
              </w:rPr>
              <w:t>Basic</w:t>
            </w:r>
          </w:p>
        </w:tc>
        <w:tc>
          <w:tcPr>
            <w:tcW w:type="dxa" w:w="3312"/>
            <w:vAlign w:val="center"/>
          </w:tcPr>
          <w:p>
            <w:pPr>
              <w:spacing w:after="40"/>
            </w:pPr>
            <w:r/>
            <w:r>
              <w:rPr>
                <w:rFonts w:ascii="Aptos" w:hAnsi="Aptos"/>
                <w:b w:val="0"/>
                <w:sz w:val="18"/>
              </w:rPr>
              <w:t>R99 per society/month</w:t>
            </w:r>
          </w:p>
        </w:tc>
        <w:tc>
          <w:tcPr>
            <w:tcW w:type="dxa" w:w="3312"/>
            <w:vAlign w:val="center"/>
          </w:tcPr>
          <w:p>
            <w:pPr>
              <w:spacing w:after="40"/>
            </w:pPr>
            <w:r/>
            <w:r>
              <w:rPr>
                <w:rFonts w:ascii="Aptos" w:hAnsi="Aptos"/>
                <w:b w:val="0"/>
                <w:sz w:val="18"/>
              </w:rPr>
              <w:t>Member records, contributions, reminders, receipts and basic reports.</w:t>
            </w:r>
          </w:p>
        </w:tc>
      </w:tr>
      <w:tr>
        <w:tc>
          <w:tcPr>
            <w:tcW w:type="dxa" w:w="3312"/>
            <w:vAlign w:val="center"/>
          </w:tcPr>
          <w:p>
            <w:pPr>
              <w:spacing w:after="40"/>
            </w:pPr>
            <w:r/>
            <w:r>
              <w:rPr>
                <w:rFonts w:ascii="Aptos" w:hAnsi="Aptos"/>
                <w:b w:val="0"/>
                <w:sz w:val="18"/>
              </w:rPr>
              <w:t>Standard</w:t>
            </w:r>
          </w:p>
        </w:tc>
        <w:tc>
          <w:tcPr>
            <w:tcW w:type="dxa" w:w="3312"/>
            <w:vAlign w:val="center"/>
          </w:tcPr>
          <w:p>
            <w:pPr>
              <w:spacing w:after="40"/>
            </w:pPr>
            <w:r/>
            <w:r>
              <w:rPr>
                <w:rFonts w:ascii="Aptos" w:hAnsi="Aptos"/>
                <w:b w:val="0"/>
                <w:sz w:val="18"/>
              </w:rPr>
              <w:t>R199 per society/month</w:t>
            </w:r>
          </w:p>
        </w:tc>
        <w:tc>
          <w:tcPr>
            <w:tcW w:type="dxa" w:w="3312"/>
            <w:vAlign w:val="center"/>
          </w:tcPr>
          <w:p>
            <w:pPr>
              <w:spacing w:after="40"/>
            </w:pPr>
            <w:r/>
            <w:r>
              <w:rPr>
                <w:rFonts w:ascii="Aptos" w:hAnsi="Aptos"/>
                <w:b w:val="0"/>
                <w:sz w:val="18"/>
              </w:rPr>
              <w:t>Basic features plus covered lives, bank reconciliation, approval workflows and claims tracking.</w:t>
            </w:r>
          </w:p>
        </w:tc>
      </w:tr>
      <w:tr>
        <w:tc>
          <w:tcPr>
            <w:tcW w:type="dxa" w:w="3312"/>
            <w:vAlign w:val="center"/>
          </w:tcPr>
          <w:p>
            <w:pPr>
              <w:spacing w:after="40"/>
            </w:pPr>
            <w:r/>
            <w:r>
              <w:rPr>
                <w:rFonts w:ascii="Aptos" w:hAnsi="Aptos"/>
                <w:b w:val="0"/>
                <w:sz w:val="18"/>
              </w:rPr>
              <w:t>Professional</w:t>
            </w:r>
          </w:p>
        </w:tc>
        <w:tc>
          <w:tcPr>
            <w:tcW w:type="dxa" w:w="3312"/>
            <w:vAlign w:val="center"/>
          </w:tcPr>
          <w:p>
            <w:pPr>
              <w:spacing w:after="40"/>
            </w:pPr>
            <w:r/>
            <w:r>
              <w:rPr>
                <w:rFonts w:ascii="Aptos" w:hAnsi="Aptos"/>
                <w:b w:val="0"/>
                <w:sz w:val="18"/>
              </w:rPr>
              <w:t>R399 per society/month</w:t>
            </w:r>
          </w:p>
        </w:tc>
        <w:tc>
          <w:tcPr>
            <w:tcW w:type="dxa" w:w="3312"/>
            <w:vAlign w:val="center"/>
          </w:tcPr>
          <w:p>
            <w:pPr>
              <w:spacing w:after="40"/>
            </w:pPr>
            <w:r/>
            <w:r>
              <w:rPr>
                <w:rFonts w:ascii="Aptos" w:hAnsi="Aptos"/>
                <w:b w:val="0"/>
                <w:sz w:val="18"/>
              </w:rPr>
              <w:t>Advanced reports, multiple branches or schemes, configurable governance and priority support.</w:t>
            </w:r>
          </w:p>
        </w:tc>
      </w:tr>
    </w:tbl>
    <w:p>
      <w:pPr>
        <w:spacing w:after="20"/>
      </w:pPr>
    </w:p>
    <w:p>
      <w:r>
        <w:t>These are hypotheses for customer interviews, not recommended final prices or confirmed market averages. Test willingness to pay, onboarding costs, support requirements, messaging costs and churn before selecting a pricing model.</w:t>
      </w:r>
    </w:p>
    <w:p>
      <w:pPr>
        <w:pStyle w:val="Heading2"/>
      </w:pPr>
      <w:r>
        <w:t>Illustrative subscription revenue</w:t>
      </w:r>
    </w:p>
    <w:tbl>
      <w:tblPr>
        <w:tblStyle w:val="LightShading-Accent1"/>
        <w:tblW w:type="auto" w:w="0"/>
        <w:tblLook w:firstColumn="1" w:firstRow="1" w:lastColumn="0" w:lastRow="0" w:noHBand="0" w:noVBand="1" w:val="04A0"/>
      </w:tblPr>
      <w:tblGrid>
        <w:gridCol w:w="3312"/>
        <w:gridCol w:w="3312"/>
        <w:gridCol w:w="3312"/>
      </w:tblGrid>
      <w:tr>
        <w:tc>
          <w:tcPr>
            <w:tcW w:type="dxa" w:w="3312"/>
            <w:vAlign w:val="center"/>
            <w:shd w:fill="18394E"/>
          </w:tcPr>
          <w:p>
            <w:pPr>
              <w:spacing w:after="40"/>
            </w:pPr>
            <w:r/>
            <w:r>
              <w:rPr>
                <w:rFonts w:ascii="Aptos" w:hAnsi="Aptos"/>
                <w:b/>
                <w:color w:val="FFFFFF"/>
                <w:sz w:val="18"/>
              </w:rPr>
              <w:t>Paying societies</w:t>
            </w:r>
          </w:p>
        </w:tc>
        <w:tc>
          <w:tcPr>
            <w:tcW w:type="dxa" w:w="3312"/>
            <w:vAlign w:val="center"/>
            <w:shd w:fill="18394E"/>
          </w:tcPr>
          <w:p>
            <w:pPr>
              <w:spacing w:after="40"/>
            </w:pPr>
            <w:r/>
            <w:r>
              <w:rPr>
                <w:rFonts w:ascii="Aptos" w:hAnsi="Aptos"/>
                <w:b/>
                <w:color w:val="FFFFFF"/>
                <w:sz w:val="18"/>
              </w:rPr>
              <w:t>Assumed average monthly price</w:t>
            </w:r>
          </w:p>
        </w:tc>
        <w:tc>
          <w:tcPr>
            <w:tcW w:type="dxa" w:w="3312"/>
            <w:vAlign w:val="center"/>
            <w:shd w:fill="18394E"/>
          </w:tcPr>
          <w:p>
            <w:pPr>
              <w:spacing w:after="40"/>
            </w:pPr>
            <w:r/>
            <w:r>
              <w:rPr>
                <w:rFonts w:ascii="Aptos" w:hAnsi="Aptos"/>
                <w:b/>
                <w:color w:val="FFFFFF"/>
                <w:sz w:val="18"/>
              </w:rPr>
              <w:t>Gross monthly subscription revenue</w:t>
            </w:r>
          </w:p>
        </w:tc>
      </w:tr>
      <w:tr>
        <w:tc>
          <w:tcPr>
            <w:tcW w:type="dxa" w:w="3312"/>
            <w:vAlign w:val="center"/>
          </w:tcPr>
          <w:p>
            <w:pPr>
              <w:spacing w:after="40"/>
            </w:pPr>
            <w:r/>
            <w:r>
              <w:rPr>
                <w:rFonts w:ascii="Aptos" w:hAnsi="Aptos"/>
                <w:b w:val="0"/>
                <w:sz w:val="18"/>
              </w:rPr>
              <w:t>100</w:t>
            </w:r>
          </w:p>
        </w:tc>
        <w:tc>
          <w:tcPr>
            <w:tcW w:type="dxa" w:w="3312"/>
            <w:vAlign w:val="center"/>
          </w:tcPr>
          <w:p>
            <w:pPr>
              <w:spacing w:after="40"/>
            </w:pPr>
            <w:r/>
            <w:r>
              <w:rPr>
                <w:rFonts w:ascii="Aptos" w:hAnsi="Aptos"/>
                <w:b w:val="0"/>
                <w:sz w:val="18"/>
              </w:rPr>
              <w:t>R199</w:t>
            </w:r>
          </w:p>
        </w:tc>
        <w:tc>
          <w:tcPr>
            <w:tcW w:type="dxa" w:w="3312"/>
            <w:vAlign w:val="center"/>
          </w:tcPr>
          <w:p>
            <w:pPr>
              <w:spacing w:after="40"/>
            </w:pPr>
            <w:r/>
            <w:r>
              <w:rPr>
                <w:rFonts w:ascii="Aptos" w:hAnsi="Aptos"/>
                <w:b w:val="0"/>
                <w:sz w:val="18"/>
              </w:rPr>
              <w:t>R19,900</w:t>
            </w:r>
          </w:p>
        </w:tc>
      </w:tr>
      <w:tr>
        <w:tc>
          <w:tcPr>
            <w:tcW w:type="dxa" w:w="3312"/>
            <w:vAlign w:val="center"/>
          </w:tcPr>
          <w:p>
            <w:pPr>
              <w:spacing w:after="40"/>
            </w:pPr>
            <w:r/>
            <w:r>
              <w:rPr>
                <w:rFonts w:ascii="Aptos" w:hAnsi="Aptos"/>
                <w:b w:val="0"/>
                <w:sz w:val="18"/>
              </w:rPr>
              <w:t>500</w:t>
            </w:r>
          </w:p>
        </w:tc>
        <w:tc>
          <w:tcPr>
            <w:tcW w:type="dxa" w:w="3312"/>
            <w:vAlign w:val="center"/>
          </w:tcPr>
          <w:p>
            <w:pPr>
              <w:spacing w:after="40"/>
            </w:pPr>
            <w:r/>
            <w:r>
              <w:rPr>
                <w:rFonts w:ascii="Aptos" w:hAnsi="Aptos"/>
                <w:b w:val="0"/>
                <w:sz w:val="18"/>
              </w:rPr>
              <w:t>R199</w:t>
            </w:r>
          </w:p>
        </w:tc>
        <w:tc>
          <w:tcPr>
            <w:tcW w:type="dxa" w:w="3312"/>
            <w:vAlign w:val="center"/>
          </w:tcPr>
          <w:p>
            <w:pPr>
              <w:spacing w:after="40"/>
            </w:pPr>
            <w:r/>
            <w:r>
              <w:rPr>
                <w:rFonts w:ascii="Aptos" w:hAnsi="Aptos"/>
                <w:b w:val="0"/>
                <w:sz w:val="18"/>
              </w:rPr>
              <w:t>R99,500</w:t>
            </w:r>
          </w:p>
        </w:tc>
      </w:tr>
      <w:tr>
        <w:tc>
          <w:tcPr>
            <w:tcW w:type="dxa" w:w="3312"/>
            <w:vAlign w:val="center"/>
          </w:tcPr>
          <w:p>
            <w:pPr>
              <w:spacing w:after="40"/>
            </w:pPr>
            <w:r/>
            <w:r>
              <w:rPr>
                <w:rFonts w:ascii="Aptos" w:hAnsi="Aptos"/>
                <w:b w:val="0"/>
                <w:sz w:val="18"/>
              </w:rPr>
              <w:t>1,000</w:t>
            </w:r>
          </w:p>
        </w:tc>
        <w:tc>
          <w:tcPr>
            <w:tcW w:type="dxa" w:w="3312"/>
            <w:vAlign w:val="center"/>
          </w:tcPr>
          <w:p>
            <w:pPr>
              <w:spacing w:after="40"/>
            </w:pPr>
            <w:r/>
            <w:r>
              <w:rPr>
                <w:rFonts w:ascii="Aptos" w:hAnsi="Aptos"/>
                <w:b w:val="0"/>
                <w:sz w:val="18"/>
              </w:rPr>
              <w:t>R199</w:t>
            </w:r>
          </w:p>
        </w:tc>
        <w:tc>
          <w:tcPr>
            <w:tcW w:type="dxa" w:w="3312"/>
            <w:vAlign w:val="center"/>
          </w:tcPr>
          <w:p>
            <w:pPr>
              <w:spacing w:after="40"/>
            </w:pPr>
            <w:r/>
            <w:r>
              <w:rPr>
                <w:rFonts w:ascii="Aptos" w:hAnsi="Aptos"/>
                <w:b w:val="0"/>
                <w:sz w:val="18"/>
              </w:rPr>
              <w:t>R199,000</w:t>
            </w:r>
          </w:p>
        </w:tc>
      </w:tr>
      <w:tr>
        <w:tc>
          <w:tcPr>
            <w:tcW w:type="dxa" w:w="3312"/>
            <w:vAlign w:val="center"/>
          </w:tcPr>
          <w:p>
            <w:pPr>
              <w:spacing w:after="40"/>
            </w:pPr>
            <w:r/>
            <w:r>
              <w:rPr>
                <w:rFonts w:ascii="Aptos" w:hAnsi="Aptos"/>
                <w:b w:val="0"/>
                <w:sz w:val="18"/>
              </w:rPr>
              <w:t>5,000</w:t>
            </w:r>
          </w:p>
        </w:tc>
        <w:tc>
          <w:tcPr>
            <w:tcW w:type="dxa" w:w="3312"/>
            <w:vAlign w:val="center"/>
          </w:tcPr>
          <w:p>
            <w:pPr>
              <w:spacing w:after="40"/>
            </w:pPr>
            <w:r/>
            <w:r>
              <w:rPr>
                <w:rFonts w:ascii="Aptos" w:hAnsi="Aptos"/>
                <w:b w:val="0"/>
                <w:sz w:val="18"/>
              </w:rPr>
              <w:t>R199</w:t>
            </w:r>
          </w:p>
        </w:tc>
        <w:tc>
          <w:tcPr>
            <w:tcW w:type="dxa" w:w="3312"/>
            <w:vAlign w:val="center"/>
          </w:tcPr>
          <w:p>
            <w:pPr>
              <w:spacing w:after="40"/>
            </w:pPr>
            <w:r/>
            <w:r>
              <w:rPr>
                <w:rFonts w:ascii="Aptos" w:hAnsi="Aptos"/>
                <w:b w:val="0"/>
                <w:sz w:val="18"/>
              </w:rPr>
              <w:t>R995,000</w:t>
            </w:r>
          </w:p>
        </w:tc>
      </w:tr>
    </w:tbl>
    <w:p>
      <w:pPr>
        <w:spacing w:after="20"/>
      </w:pPr>
    </w:p>
    <w:p>
      <w:r>
        <w:t>These figures are illustrative gross revenue only. They exclude discounts, non-payment, VAT where applicable, support, sales, infrastructure, messaging, payment costs and product development.</w:t>
      </w:r>
    </w:p>
    <w:p>
      <w:pPr>
        <w:pStyle w:val="Heading1"/>
      </w:pPr>
      <w:r>
        <w:t>10. Regulatory, privacy and trust considerations</w:t>
      </w:r>
    </w:p>
    <w:p>
      <w:r>
        <w:t>This section is a product-planning overview, not legal advice. Obtain South African legal and regulatory guidance before launch, especially before enabling payment initiation, handling funds, arranging insurance or making benefit decisions.</w:t>
      </w:r>
    </w:p>
    <w:p>
      <w:pPr>
        <w:pStyle w:val="Heading2"/>
      </w:pPr>
      <w:r>
        <w:t>POPIA and sensitive records</w:t>
      </w:r>
    </w:p>
    <w:p>
      <w:pPr>
        <w:pStyle w:val="ListBullet"/>
        <w:spacing w:after="60"/>
      </w:pPr>
      <w:r>
        <w:t>Collect only the information needed for a defined purpose.</w:t>
      </w:r>
    </w:p>
    <w:p>
      <w:pPr>
        <w:pStyle w:val="ListBullet"/>
        <w:spacing w:after="60"/>
      </w:pPr>
      <w:r>
        <w:t>Define lawful processing, access, correction, retention and deletion procedures.</w:t>
      </w:r>
    </w:p>
    <w:p>
      <w:pPr>
        <w:pStyle w:val="ListBullet"/>
        <w:spacing w:after="60"/>
      </w:pPr>
      <w:r>
        <w:t>Use strong authentication, encryption, role-based permissions and access logs.</w:t>
      </w:r>
    </w:p>
    <w:p>
      <w:pPr>
        <w:pStyle w:val="ListBullet"/>
        <w:spacing w:after="60"/>
      </w:pPr>
      <w:r>
        <w:t>Provide clear consent and sharing controls where applicable.</w:t>
      </w:r>
    </w:p>
    <w:p>
      <w:pPr>
        <w:pStyle w:val="ListBullet"/>
        <w:spacing w:after="60"/>
      </w:pPr>
      <w:r>
        <w:t>Create incident response and data-breach procedures.</w:t>
      </w:r>
    </w:p>
    <w:p>
      <w:pPr>
        <w:pStyle w:val="Heading2"/>
      </w:pPr>
      <w:r>
        <w:t>Financial services and funds</w:t>
      </w:r>
    </w:p>
    <w:p>
      <w:pPr>
        <w:pStyle w:val="ListBullet"/>
        <w:spacing w:after="60"/>
      </w:pPr>
      <w:r>
        <w:t>Keep society funds in the society’s existing bank account during the initial phase.</w:t>
      </w:r>
    </w:p>
    <w:p>
      <w:pPr>
        <w:pStyle w:val="ListBullet"/>
        <w:spacing w:after="60"/>
      </w:pPr>
      <w:r>
        <w:t>Distinguish internal approval records from bank-authorised transfers.</w:t>
      </w:r>
    </w:p>
    <w:p>
      <w:pPr>
        <w:pStyle w:val="ListBullet"/>
        <w:spacing w:after="60"/>
      </w:pPr>
      <w:r>
        <w:t>Use an appropriately authorised payment provider for payment processing.</w:t>
      </w:r>
    </w:p>
    <w:p>
      <w:pPr>
        <w:pStyle w:val="ListBullet"/>
        <w:spacing w:after="60"/>
      </w:pPr>
      <w:r>
        <w:t>Obtain advice before holding funds, pooling contributions, initiating transfers or introducing insurance products.</w:t>
      </w:r>
    </w:p>
    <w:p>
      <w:pPr>
        <w:pStyle w:val="ListBullet"/>
        <w:spacing w:after="60"/>
      </w:pPr>
      <w:r>
        <w:t>Do not assume that every society’s benefit arrangement has the same legal status.</w:t>
      </w:r>
    </w:p>
    <w:p>
      <w:pPr>
        <w:pStyle w:val="Heading2"/>
      </w:pPr>
      <w:r>
        <w:t>Rules and claims</w:t>
      </w:r>
    </w:p>
    <w:p>
      <w:pPr>
        <w:pStyle w:val="ListBullet"/>
        <w:spacing w:after="60"/>
      </w:pPr>
      <w:r>
        <w:t>Let each society approve and configure its own constitution and benefit rules.</w:t>
      </w:r>
    </w:p>
    <w:p>
      <w:pPr>
        <w:pStyle w:val="ListBullet"/>
        <w:spacing w:after="60"/>
      </w:pPr>
      <w:r>
        <w:t>Show the basis for eligibility checks and preserve relevant records.</w:t>
      </w:r>
    </w:p>
    <w:p>
      <w:pPr>
        <w:pStyle w:val="ListBullet"/>
        <w:spacing w:after="60"/>
      </w:pPr>
      <w:r>
        <w:t>Route exceptions and disputes to authorised people.</w:t>
      </w:r>
    </w:p>
    <w:p>
      <w:pPr>
        <w:pStyle w:val="ListBullet"/>
        <w:spacing w:after="60"/>
      </w:pPr>
      <w:r>
        <w:t>Do not promise approval or present a software flag as a binding insurance decision.</w:t>
      </w:r>
    </w:p>
    <w:p>
      <w:pPr>
        <w:pStyle w:val="Heading1"/>
      </w:pPr>
      <w:r>
        <w:t>11. Validation plan and pilot metrics</w:t>
      </w:r>
    </w:p>
    <w:p>
      <w:r>
        <w:t>The next step should be customer discovery and prototype testing, not a large development commitment. Interview the people who perform the work and observe their current process.</w:t>
      </w:r>
    </w:p>
    <w:tbl>
      <w:tblPr>
        <w:tblStyle w:val="LightShading-Accent1"/>
        <w:tblW w:type="auto" w:w="0"/>
        <w:tblLook w:firstColumn="1" w:firstRow="1" w:lastColumn="0" w:lastRow="0" w:noHBand="0" w:noVBand="1" w:val="04A0"/>
      </w:tblPr>
      <w:tblGrid>
        <w:gridCol w:w="3312"/>
        <w:gridCol w:w="3312"/>
        <w:gridCol w:w="3312"/>
      </w:tblGrid>
      <w:tr>
        <w:tc>
          <w:tcPr>
            <w:tcW w:type="dxa" w:w="3312"/>
            <w:vAlign w:val="center"/>
            <w:shd w:fill="18394E"/>
          </w:tcPr>
          <w:p>
            <w:pPr>
              <w:spacing w:after="40"/>
            </w:pPr>
            <w:r/>
            <w:r>
              <w:rPr>
                <w:rFonts w:ascii="Aptos" w:hAnsi="Aptos"/>
                <w:b/>
                <w:color w:val="FFFFFF"/>
                <w:sz w:val="18"/>
              </w:rPr>
              <w:t>Timing</w:t>
            </w:r>
          </w:p>
        </w:tc>
        <w:tc>
          <w:tcPr>
            <w:tcW w:type="dxa" w:w="3312"/>
            <w:vAlign w:val="center"/>
            <w:shd w:fill="18394E"/>
          </w:tcPr>
          <w:p>
            <w:pPr>
              <w:spacing w:after="40"/>
            </w:pPr>
            <w:r/>
            <w:r>
              <w:rPr>
                <w:rFonts w:ascii="Aptos" w:hAnsi="Aptos"/>
                <w:b/>
                <w:color w:val="FFFFFF"/>
                <w:sz w:val="18"/>
              </w:rPr>
              <w:t>Activity</w:t>
            </w:r>
          </w:p>
        </w:tc>
        <w:tc>
          <w:tcPr>
            <w:tcW w:type="dxa" w:w="3312"/>
            <w:vAlign w:val="center"/>
            <w:shd w:fill="18394E"/>
          </w:tcPr>
          <w:p>
            <w:pPr>
              <w:spacing w:after="40"/>
            </w:pPr>
            <w:r/>
            <w:r>
              <w:rPr>
                <w:rFonts w:ascii="Aptos" w:hAnsi="Aptos"/>
                <w:b/>
                <w:color w:val="FFFFFF"/>
                <w:sz w:val="18"/>
              </w:rPr>
              <w:t>Output</w:t>
            </w:r>
          </w:p>
        </w:tc>
      </w:tr>
      <w:tr>
        <w:tc>
          <w:tcPr>
            <w:tcW w:type="dxa" w:w="3312"/>
            <w:vAlign w:val="center"/>
          </w:tcPr>
          <w:p>
            <w:pPr>
              <w:spacing w:after="40"/>
            </w:pPr>
            <w:r/>
            <w:r>
              <w:rPr>
                <w:rFonts w:ascii="Aptos" w:hAnsi="Aptos"/>
                <w:b w:val="0"/>
                <w:sz w:val="18"/>
              </w:rPr>
              <w:t>Weeks 1–2</w:t>
            </w:r>
          </w:p>
        </w:tc>
        <w:tc>
          <w:tcPr>
            <w:tcW w:type="dxa" w:w="3312"/>
            <w:vAlign w:val="center"/>
          </w:tcPr>
          <w:p>
            <w:pPr>
              <w:spacing w:after="40"/>
            </w:pPr>
            <w:r/>
            <w:r>
              <w:rPr>
                <w:rFonts w:ascii="Aptos" w:hAnsi="Aptos"/>
                <w:b w:val="0"/>
                <w:sz w:val="18"/>
              </w:rPr>
              <w:t>Interview 15–20 societies: chairpersons, treasurers and members.</w:t>
            </w:r>
          </w:p>
        </w:tc>
        <w:tc>
          <w:tcPr>
            <w:tcW w:type="dxa" w:w="3312"/>
            <w:vAlign w:val="center"/>
          </w:tcPr>
          <w:p>
            <w:pPr>
              <w:spacing w:after="40"/>
            </w:pPr>
            <w:r/>
            <w:r>
              <w:rPr>
                <w:rFonts w:ascii="Aptos" w:hAnsi="Aptos"/>
                <w:b w:val="0"/>
                <w:sz w:val="18"/>
              </w:rPr>
              <w:t>Ranked pain points, current workflows and willingness-to-pay signals.</w:t>
            </w:r>
          </w:p>
        </w:tc>
      </w:tr>
      <w:tr>
        <w:tc>
          <w:tcPr>
            <w:tcW w:type="dxa" w:w="3312"/>
            <w:vAlign w:val="center"/>
          </w:tcPr>
          <w:p>
            <w:pPr>
              <w:spacing w:after="40"/>
            </w:pPr>
            <w:r/>
            <w:r>
              <w:rPr>
                <w:rFonts w:ascii="Aptos" w:hAnsi="Aptos"/>
                <w:b w:val="0"/>
                <w:sz w:val="18"/>
              </w:rPr>
              <w:t>Weeks 2–3</w:t>
            </w:r>
          </w:p>
        </w:tc>
        <w:tc>
          <w:tcPr>
            <w:tcW w:type="dxa" w:w="3312"/>
            <w:vAlign w:val="center"/>
          </w:tcPr>
          <w:p>
            <w:pPr>
              <w:spacing w:after="40"/>
            </w:pPr>
            <w:r/>
            <w:r>
              <w:rPr>
                <w:rFonts w:ascii="Aptos" w:hAnsi="Aptos"/>
                <w:b w:val="0"/>
                <w:sz w:val="18"/>
              </w:rPr>
              <w:t>Test a clickable prototype using realistic tasks.</w:t>
            </w:r>
          </w:p>
        </w:tc>
        <w:tc>
          <w:tcPr>
            <w:tcW w:type="dxa" w:w="3312"/>
            <w:vAlign w:val="center"/>
          </w:tcPr>
          <w:p>
            <w:pPr>
              <w:spacing w:after="40"/>
            </w:pPr>
            <w:r/>
            <w:r>
              <w:rPr>
                <w:rFonts w:ascii="Aptos" w:hAnsi="Aptos"/>
                <w:b w:val="0"/>
                <w:sz w:val="18"/>
              </w:rPr>
              <w:t>Evidence of usability, confusion and missing workflows.</w:t>
            </w:r>
          </w:p>
        </w:tc>
      </w:tr>
      <w:tr>
        <w:tc>
          <w:tcPr>
            <w:tcW w:type="dxa" w:w="3312"/>
            <w:vAlign w:val="center"/>
          </w:tcPr>
          <w:p>
            <w:pPr>
              <w:spacing w:after="40"/>
            </w:pPr>
            <w:r/>
            <w:r>
              <w:rPr>
                <w:rFonts w:ascii="Aptos" w:hAnsi="Aptos"/>
                <w:b w:val="0"/>
                <w:sz w:val="18"/>
              </w:rPr>
              <w:t>Weeks 3–4</w:t>
            </w:r>
          </w:p>
        </w:tc>
        <w:tc>
          <w:tcPr>
            <w:tcW w:type="dxa" w:w="3312"/>
            <w:vAlign w:val="center"/>
          </w:tcPr>
          <w:p>
            <w:pPr>
              <w:spacing w:after="40"/>
            </w:pPr>
            <w:r/>
            <w:r>
              <w:rPr>
                <w:rFonts w:ascii="Aptos" w:hAnsi="Aptos"/>
                <w:b w:val="0"/>
                <w:sz w:val="18"/>
              </w:rPr>
              <w:t>Recruit 3–5 pilot societies and discuss post-pilot pricing.</w:t>
            </w:r>
          </w:p>
        </w:tc>
        <w:tc>
          <w:tcPr>
            <w:tcW w:type="dxa" w:w="3312"/>
            <w:vAlign w:val="center"/>
          </w:tcPr>
          <w:p>
            <w:pPr>
              <w:spacing w:after="40"/>
            </w:pPr>
            <w:r/>
            <w:r>
              <w:rPr>
                <w:rFonts w:ascii="Aptos" w:hAnsi="Aptos"/>
                <w:b w:val="0"/>
                <w:sz w:val="18"/>
              </w:rPr>
              <w:t>Pilot commitments and measurable baseline.</w:t>
            </w:r>
          </w:p>
        </w:tc>
      </w:tr>
      <w:tr>
        <w:tc>
          <w:tcPr>
            <w:tcW w:type="dxa" w:w="3312"/>
            <w:vAlign w:val="center"/>
          </w:tcPr>
          <w:p>
            <w:pPr>
              <w:spacing w:after="40"/>
            </w:pPr>
            <w:r/>
            <w:r>
              <w:rPr>
                <w:rFonts w:ascii="Aptos" w:hAnsi="Aptos"/>
                <w:b w:val="0"/>
                <w:sz w:val="18"/>
              </w:rPr>
              <w:t>Weeks 4–6</w:t>
            </w:r>
          </w:p>
        </w:tc>
        <w:tc>
          <w:tcPr>
            <w:tcW w:type="dxa" w:w="3312"/>
            <w:vAlign w:val="center"/>
          </w:tcPr>
          <w:p>
            <w:pPr>
              <w:spacing w:after="40"/>
            </w:pPr>
            <w:r/>
            <w:r>
              <w:rPr>
                <w:rFonts w:ascii="Aptos" w:hAnsi="Aptos"/>
                <w:b w:val="0"/>
                <w:sz w:val="18"/>
              </w:rPr>
              <w:t>Run an initial workflow pilot and observe actual usage.</w:t>
            </w:r>
          </w:p>
        </w:tc>
        <w:tc>
          <w:tcPr>
            <w:tcW w:type="dxa" w:w="3312"/>
            <w:vAlign w:val="center"/>
          </w:tcPr>
          <w:p>
            <w:pPr>
              <w:spacing w:after="40"/>
            </w:pPr>
            <w:r/>
            <w:r>
              <w:rPr>
                <w:rFonts w:ascii="Aptos" w:hAnsi="Aptos"/>
                <w:b w:val="0"/>
                <w:sz w:val="18"/>
              </w:rPr>
              <w:t>Usage, accuracy and friction data; continue observing beyond six weeks.</w:t>
            </w:r>
          </w:p>
        </w:tc>
      </w:tr>
    </w:tbl>
    <w:p>
      <w:pPr>
        <w:spacing w:after="20"/>
      </w:pPr>
    </w:p>
    <w:p>
      <w:pPr>
        <w:pStyle w:val="Heading2"/>
      </w:pPr>
      <w:r>
        <w:t>Proposed early pilot targets</w:t>
      </w:r>
    </w:p>
    <w:tbl>
      <w:tblPr>
        <w:tblStyle w:val="LightShading-Accent1"/>
        <w:tblW w:type="auto" w:w="0"/>
        <w:tblLook w:firstColumn="1" w:firstRow="1" w:lastColumn="0" w:lastRow="0" w:noHBand="0" w:noVBand="1" w:val="04A0"/>
      </w:tblPr>
      <w:tblGrid>
        <w:gridCol w:w="4968"/>
        <w:gridCol w:w="4968"/>
      </w:tblGrid>
      <w:tr>
        <w:tc>
          <w:tcPr>
            <w:tcW w:type="dxa" w:w="4968"/>
            <w:vAlign w:val="center"/>
            <w:shd w:fill="18394E"/>
          </w:tcPr>
          <w:p>
            <w:pPr>
              <w:spacing w:after="40"/>
            </w:pPr>
            <w:r/>
            <w:r>
              <w:rPr>
                <w:rFonts w:ascii="Aptos" w:hAnsi="Aptos"/>
                <w:b/>
                <w:color w:val="FFFFFF"/>
                <w:sz w:val="18"/>
              </w:rPr>
              <w:t>Metric</w:t>
            </w:r>
          </w:p>
        </w:tc>
        <w:tc>
          <w:tcPr>
            <w:tcW w:type="dxa" w:w="4968"/>
            <w:vAlign w:val="center"/>
            <w:shd w:fill="18394E"/>
          </w:tcPr>
          <w:p>
            <w:pPr>
              <w:spacing w:after="40"/>
            </w:pPr>
            <w:r/>
            <w:r>
              <w:rPr>
                <w:rFonts w:ascii="Aptos" w:hAnsi="Aptos"/>
                <w:b/>
                <w:color w:val="FFFFFF"/>
                <w:sz w:val="18"/>
              </w:rPr>
              <w:t>Initial target</w:t>
            </w:r>
          </w:p>
        </w:tc>
      </w:tr>
      <w:tr>
        <w:tc>
          <w:tcPr>
            <w:tcW w:type="dxa" w:w="4968"/>
            <w:vAlign w:val="center"/>
          </w:tcPr>
          <w:p>
            <w:pPr>
              <w:spacing w:after="40"/>
            </w:pPr>
            <w:r/>
            <w:r>
              <w:rPr>
                <w:rFonts w:ascii="Aptos" w:hAnsi="Aptos"/>
                <w:b w:val="0"/>
                <w:sz w:val="18"/>
              </w:rPr>
              <w:t>Societies recruited</w:t>
            </w:r>
          </w:p>
        </w:tc>
        <w:tc>
          <w:tcPr>
            <w:tcW w:type="dxa" w:w="4968"/>
            <w:vAlign w:val="center"/>
          </w:tcPr>
          <w:p>
            <w:pPr>
              <w:spacing w:after="40"/>
            </w:pPr>
            <w:r/>
            <w:r>
              <w:rPr>
                <w:rFonts w:ascii="Aptos" w:hAnsi="Aptos"/>
                <w:b w:val="0"/>
                <w:sz w:val="18"/>
              </w:rPr>
              <w:t>3–5</w:t>
            </w:r>
          </w:p>
        </w:tc>
      </w:tr>
      <w:tr>
        <w:tc>
          <w:tcPr>
            <w:tcW w:type="dxa" w:w="4968"/>
            <w:vAlign w:val="center"/>
          </w:tcPr>
          <w:p>
            <w:pPr>
              <w:spacing w:after="40"/>
            </w:pPr>
            <w:r/>
            <w:r>
              <w:rPr>
                <w:rFonts w:ascii="Aptos" w:hAnsi="Aptos"/>
                <w:b w:val="0"/>
                <w:sz w:val="18"/>
              </w:rPr>
              <w:t>Societies still using the product after 8 weeks</w:t>
            </w:r>
          </w:p>
        </w:tc>
        <w:tc>
          <w:tcPr>
            <w:tcW w:type="dxa" w:w="4968"/>
            <w:vAlign w:val="center"/>
          </w:tcPr>
          <w:p>
            <w:pPr>
              <w:spacing w:after="40"/>
            </w:pPr>
            <w:r/>
            <w:r>
              <w:rPr>
                <w:rFonts w:ascii="Aptos" w:hAnsi="Aptos"/>
                <w:b w:val="0"/>
                <w:sz w:val="18"/>
              </w:rPr>
              <w:t>At least 80%</w:t>
            </w:r>
          </w:p>
        </w:tc>
      </w:tr>
      <w:tr>
        <w:tc>
          <w:tcPr>
            <w:tcW w:type="dxa" w:w="4968"/>
            <w:vAlign w:val="center"/>
          </w:tcPr>
          <w:p>
            <w:pPr>
              <w:spacing w:after="40"/>
            </w:pPr>
            <w:r/>
            <w:r>
              <w:rPr>
                <w:rFonts w:ascii="Aptos" w:hAnsi="Aptos"/>
                <w:b w:val="0"/>
                <w:sz w:val="18"/>
              </w:rPr>
              <w:t>Monthly contribution records reconciled</w:t>
            </w:r>
          </w:p>
        </w:tc>
        <w:tc>
          <w:tcPr>
            <w:tcW w:type="dxa" w:w="4968"/>
            <w:vAlign w:val="center"/>
          </w:tcPr>
          <w:p>
            <w:pPr>
              <w:spacing w:after="40"/>
            </w:pPr>
            <w:r/>
            <w:r>
              <w:rPr>
                <w:rFonts w:ascii="Aptos" w:hAnsi="Aptos"/>
                <w:b w:val="0"/>
                <w:sz w:val="18"/>
              </w:rPr>
              <w:t>At least 95%</w:t>
            </w:r>
          </w:p>
        </w:tc>
      </w:tr>
      <w:tr>
        <w:tc>
          <w:tcPr>
            <w:tcW w:type="dxa" w:w="4968"/>
            <w:vAlign w:val="center"/>
          </w:tcPr>
          <w:p>
            <w:pPr>
              <w:spacing w:after="40"/>
            </w:pPr>
            <w:r/>
            <w:r>
              <w:rPr>
                <w:rFonts w:ascii="Aptos" w:hAnsi="Aptos"/>
                <w:b w:val="0"/>
                <w:sz w:val="18"/>
              </w:rPr>
              <w:t>Pilot societies willing to pay at the proposed price</w:t>
            </w:r>
          </w:p>
        </w:tc>
        <w:tc>
          <w:tcPr>
            <w:tcW w:type="dxa" w:w="4968"/>
            <w:vAlign w:val="center"/>
          </w:tcPr>
          <w:p>
            <w:pPr>
              <w:spacing w:after="40"/>
            </w:pPr>
            <w:r/>
            <w:r>
              <w:rPr>
                <w:rFonts w:ascii="Aptos" w:hAnsi="Aptos"/>
                <w:b w:val="0"/>
                <w:sz w:val="18"/>
              </w:rPr>
              <w:t>At least 3</w:t>
            </w:r>
          </w:p>
        </w:tc>
      </w:tr>
      <w:tr>
        <w:tc>
          <w:tcPr>
            <w:tcW w:type="dxa" w:w="4968"/>
            <w:vAlign w:val="center"/>
          </w:tcPr>
          <w:p>
            <w:pPr>
              <w:spacing w:after="40"/>
            </w:pPr>
            <w:r/>
            <w:r>
              <w:rPr>
                <w:rFonts w:ascii="Aptos" w:hAnsi="Aptos"/>
                <w:b w:val="0"/>
                <w:sz w:val="18"/>
              </w:rPr>
              <w:t>Critical financial-record errors</w:t>
            </w:r>
          </w:p>
        </w:tc>
        <w:tc>
          <w:tcPr>
            <w:tcW w:type="dxa" w:w="4968"/>
            <w:vAlign w:val="center"/>
          </w:tcPr>
          <w:p>
            <w:pPr>
              <w:spacing w:after="40"/>
            </w:pPr>
            <w:r/>
            <w:r>
              <w:rPr>
                <w:rFonts w:ascii="Aptos" w:hAnsi="Aptos"/>
                <w:b w:val="0"/>
                <w:sz w:val="18"/>
              </w:rPr>
              <w:t>Zero unresolved</w:t>
            </w:r>
          </w:p>
        </w:tc>
      </w:tr>
      <w:tr>
        <w:tc>
          <w:tcPr>
            <w:tcW w:type="dxa" w:w="4968"/>
            <w:vAlign w:val="center"/>
          </w:tcPr>
          <w:p>
            <w:pPr>
              <w:spacing w:after="40"/>
            </w:pPr>
            <w:r/>
            <w:r>
              <w:rPr>
                <w:rFonts w:ascii="Aptos" w:hAnsi="Aptos"/>
                <w:b w:val="0"/>
                <w:sz w:val="18"/>
              </w:rPr>
              <w:t>Routine payment capture</w:t>
            </w:r>
          </w:p>
        </w:tc>
        <w:tc>
          <w:tcPr>
            <w:tcW w:type="dxa" w:w="4968"/>
            <w:vAlign w:val="center"/>
          </w:tcPr>
          <w:p>
            <w:pPr>
              <w:spacing w:after="40"/>
            </w:pPr>
            <w:r/>
            <w:r>
              <w:rPr>
                <w:rFonts w:ascii="Aptos" w:hAnsi="Aptos"/>
                <w:b w:val="0"/>
                <w:sz w:val="18"/>
              </w:rPr>
              <w:t>Under 30 seconds per record</w:t>
            </w:r>
          </w:p>
        </w:tc>
      </w:tr>
    </w:tbl>
    <w:p>
      <w:pPr>
        <w:spacing w:after="20"/>
      </w:pPr>
    </w:p>
    <w:p>
      <w:r>
        <w:t>These are proposed experiment targets, not industry benchmarks. Funeral claims are irregular, so a short pilot cannot prove long-term claims performance or retention. Continue tracking use and trust over several months.</w:t>
      </w:r>
    </w:p>
    <w:p>
      <w:pPr>
        <w:pStyle w:val="Heading1"/>
      </w:pPr>
      <w:r>
        <w:t>12. Strategic recommendation</w:t>
      </w:r>
    </w:p>
    <w:tbl>
      <w:tblPr>
        <w:tblW w:type="auto" w:w="0"/>
        <w:tblLayout w:type="autofit"/>
        <w:tblLook w:firstColumn="1" w:firstRow="1" w:lastColumn="0" w:lastRow="0" w:noHBand="0" w:noVBand="1" w:val="04A0"/>
      </w:tblPr>
      <w:tblGrid>
        <w:gridCol w:w="9936"/>
      </w:tblGrid>
      <w:tr>
        <w:tc>
          <w:tcPr>
            <w:tcW w:type="dxa" w:w="9936"/>
            <w:shd w:fill="EAF4F5"/>
          </w:tcPr>
          <w:p>
            <w:pPr>
              <w:spacing w:after="60"/>
            </w:pPr>
            <w:r>
              <w:rPr>
                <w:b/>
                <w:color w:val="007180"/>
                <w:sz w:val="22"/>
              </w:rPr>
              <w:t>Build the foundations of a management product with the ambition of a connected funeral ecosystem.</w:t>
              <w:br/>
            </w:r>
            <w:r>
              <w:rPr>
                <w:sz w:val="20"/>
              </w:rPr>
              <w:t>Start by solving a concrete operational problem for societies. Design the data, permissions and workflow architecture so that parlours and families can connect later. Expand only when pilot evidence shows that the next Space adds measurable value.</w:t>
            </w:r>
          </w:p>
        </w:tc>
      </w:tr>
    </w:tbl>
    <w:p>
      <w:pPr>
        <w:spacing w:after="20"/>
      </w:pPr>
    </w:p>
    <w:p>
      <w:pPr>
        <w:pStyle w:val="Heading2"/>
      </w:pPr>
      <w:r>
        <w:t>The strongest initial proposition</w:t>
      </w:r>
    </w:p>
    <w:p>
      <w:r>
        <w:t>“Every member’s contributions are traceable, every covered life is recorded, and every funeral claim has a documented outcome—then the family can connect to a participating parlour through one guided journey.”</w:t>
      </w:r>
    </w:p>
    <w:p>
      <w:pPr>
        <w:pStyle w:val="Heading2"/>
      </w:pPr>
      <w:r>
        <w:t>Immediate next steps</w:t>
      </w:r>
    </w:p>
    <w:p>
      <w:pPr>
        <w:pStyle w:val="ListNumber"/>
        <w:spacing w:after="80"/>
      </w:pPr>
      <w:r>
        <w:t>Choose a narrow first customer segment: self-managed societies with recurring contributions and meaningful administration needs.</w:t>
      </w:r>
    </w:p>
    <w:p>
      <w:pPr>
        <w:pStyle w:val="ListNumber"/>
        <w:spacing w:after="80"/>
      </w:pPr>
      <w:r>
        <w:t>Interview 15–20 societies and document their actual processes.</w:t>
      </w:r>
    </w:p>
    <w:p>
      <w:pPr>
        <w:pStyle w:val="ListNumber"/>
        <w:spacing w:after="80"/>
      </w:pPr>
      <w:r>
        <w:t>Test the highest-value workflows: contribution reconciliation, covered lives and funeral claim tracking.</w:t>
      </w:r>
    </w:p>
    <w:p>
      <w:pPr>
        <w:pStyle w:val="ListNumber"/>
        <w:spacing w:after="80"/>
      </w:pPr>
      <w:r>
        <w:t>Recruit 3–5 pilot societies before committing to a full build.</w:t>
      </w:r>
    </w:p>
    <w:p>
      <w:pPr>
        <w:pStyle w:val="ListNumber"/>
        <w:spacing w:after="80"/>
      </w:pPr>
      <w:r>
        <w:t>Speak to a small number of funeral parlours about quotation, booking and payment pain points.</w:t>
      </w:r>
    </w:p>
    <w:p>
      <w:pPr>
        <w:pStyle w:val="ListNumber"/>
        <w:spacing w:after="80"/>
      </w:pPr>
      <w:r>
        <w:t>Get legal advice on privacy, society benefit arrangements and the boundaries of payment/insurance functionality.</w:t>
      </w:r>
    </w:p>
    <w:p>
      <w:pPr>
        <w:pStyle w:val="ListNumber"/>
        <w:spacing w:after="80"/>
      </w:pPr>
      <w:r>
        <w:t>Measure adoption and willingness to pay before expanding to a marketplace.</w:t>
      </w:r>
    </w:p>
    <w:p>
      <w:pPr>
        <w:pStyle w:val="Heading1"/>
      </w:pPr>
      <w:r>
        <w:t>Appendix: initial competitor references and research links</w:t>
      </w:r>
    </w:p>
    <w:p>
      <w:r>
        <w:t>The following links were identified during the initial desk research. They are included to support further validation. Recheck current product claims, pricing and availability directly with each provider.</w:t>
      </w:r>
    </w:p>
    <w:p>
      <w:pPr>
        <w:pStyle w:val="ListBullet"/>
      </w:pPr>
      <w:r>
        <w:rPr>
          <w:b/>
        </w:rPr>
        <w:t xml:space="preserve">StokFella — </w:t>
      </w:r>
      <w:r>
        <w:t xml:space="preserve">Stokvel platform and related services. </w:t>
      </w:r>
      <w:r>
        <w:t>https://www.stokfella.com/</w:t>
      </w:r>
    </w:p>
    <w:p>
      <w:pPr>
        <w:pStyle w:val="ListBullet"/>
      </w:pPr>
      <w:r>
        <w:rPr>
          <w:b/>
        </w:rPr>
        <w:t xml:space="preserve">Sisonke — </w:t>
      </w:r>
      <w:r>
        <w:t xml:space="preserve">Burial society and stokvel management software. </w:t>
      </w:r>
      <w:r>
        <w:t>https://www.sisonkestokvel.co.za/</w:t>
      </w:r>
    </w:p>
    <w:p>
      <w:pPr>
        <w:pStyle w:val="ListBullet"/>
      </w:pPr>
      <w:r>
        <w:rPr>
          <w:b/>
        </w:rPr>
        <w:t xml:space="preserve">Stok-Vel — </w:t>
      </w:r>
      <w:r>
        <w:t xml:space="preserve">Savings group and burial society management. </w:t>
      </w:r>
      <w:r>
        <w:t>https://www.stok-vel.co.za/</w:t>
      </w:r>
    </w:p>
    <w:p>
      <w:pPr>
        <w:pStyle w:val="ListBullet"/>
      </w:pPr>
      <w:r>
        <w:rPr>
          <w:b/>
        </w:rPr>
        <w:t xml:space="preserve">Google Play — Stokvel: Savings Groups — </w:t>
      </w:r>
      <w:r>
        <w:t xml:space="preserve">Mobile application listing. </w:t>
      </w:r>
      <w:r>
        <w:t>https://play.google.com/store/apps/details?id=za.co.qxtech.stokvel</w:t>
      </w:r>
    </w:p>
    <w:p>
      <w:pPr>
        <w:pStyle w:val="ListBullet"/>
      </w:pPr>
      <w:r>
        <w:rPr>
          <w:b/>
        </w:rPr>
        <w:t xml:space="preserve">Google Play — Tlhakiso Stokvel — </w:t>
      </w:r>
      <w:r>
        <w:t xml:space="preserve">Mobile application listing. </w:t>
      </w:r>
      <w:r>
        <w:t>https://play.google.com/store/apps/details?id=com.hailio.stokvel</w:t>
      </w:r>
    </w:p>
    <w:p>
      <w:pPr>
        <w:pStyle w:val="ListBullet"/>
      </w:pPr>
      <w:r>
        <w:rPr>
          <w:b/>
        </w:rPr>
        <w:t xml:space="preserve">Financial Sector Conduct Authority — </w:t>
      </w:r>
      <w:r>
        <w:t xml:space="preserve">South African financial-sector regulator. </w:t>
      </w:r>
      <w:r>
        <w:t>https://www.fsca.co.za/</w:t>
      </w:r>
    </w:p>
    <w:p>
      <w:pPr>
        <w:pStyle w:val="ListBullet"/>
      </w:pPr>
      <w:r>
        <w:rPr>
          <w:b/>
        </w:rPr>
        <w:t xml:space="preserve">Protection of Personal Information Act — </w:t>
      </w:r>
      <w:r>
        <w:t xml:space="preserve">Official South African legal reference. </w:t>
      </w:r>
      <w:r>
        <w:t>https://www.gov.za/documents/protection-personal-information-act</w:t>
      </w:r>
    </w:p>
    <w:p/>
    <w:p>
      <w:pPr>
        <w:jc w:val="center"/>
      </w:pPr>
      <w:r>
        <w:rPr>
          <w:i/>
          <w:color w:val="64737D"/>
        </w:rPr>
        <w:t>End of concept document</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37D"/>
        <w:sz w:val="16"/>
      </w:rPr>
      <w:t>Concept document • South Africa •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4737D"/>
        <w:sz w:val="16"/>
      </w:rPr>
      <w:t>FUNERAL SPACES PLATFORM  |  CONCEPT &amp; STRATEGY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2D374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8394E"/>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718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8394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8394E"/>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