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Fine-Tuning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Used the SNLI (Stanford Natural Language Inference) dataset, which contains labeled sentence pairs for NLI tasks with labels `entailment`(0), `neutral`(1), and `contradiction`(2).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Prompt Format</w:t>
      </w:r>
      <w:r w:rsidDel="00000000" w:rsidR="00000000" w:rsidRPr="00000000">
        <w:rPr>
          <w:rtl w:val="0"/>
        </w:rPr>
        <w:t xml:space="preserve">: Each data instance was converted into a prompt, formatted as: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Premise: &lt;premise_text&gt;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Hypothesis: &lt;hypothesis_text&gt;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Label: &lt;label_text&gt;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For training, the correct label was provided, while for inference, the label was omitted to prompt the model for prediction.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Model Choice: Used the `microsoft/phi-2` model</w:t>
        <w:br w:type="textWrapping"/>
        <w:t xml:space="preserve">- Quantization with QLoRA: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Used QLoRA (Quantized Low-Rank Adaptation) to enable efficient fine-tuning with reduced memory usage by setting the model to 4-bit precision.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Configured LoRA with a rank of 8 and dropout of 0.1 to limit memory usage while ensuring that critical model layers remain adaptable.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Custom Dataset Class: Created a custom dataset class, `NLIDataset`, to handle tokenized data and maintain compatibility with the PyTorch `Trainer`.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Training Arguments: Configured training to save the model at the end of each epoch, use gradient checkpointing, and reduce the batch size to fit GPU memory constraints.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Evaluation Strategy: Calculated accuracy on a separate test set for both pretrained and fine-tuned models for comparison.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and Observations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Accuracy Comparison: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Pretrained Model Accuracy: 32%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Fine-tuned Model Accuracy: 59%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The fine-tuned model demonstrated an improvement in accuracy, showing that it adapted a bit to the NLI task. However, there is still room for improvement in overall performance.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Time Taken to Fine-Tune Using QLoRA: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Training Duration: Approximately `(end_time - start_time)` seconds = ~7000 sec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Fine-tuning required five epochs on the SNLI dataset with QLoRA, which was feasible within the constraints of a Kaggle notebook, thanks to quantization.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201102" cy="1690688"/>
            <wp:effectExtent b="12700" l="12700" r="12700" t="1270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02" cy="16906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Model Parameters: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Total Parameters: ~2.7 billion (specific to `microsoft/phi-2` model)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Fine-tuned Parameters (LoRA): Only a subset of model layers (parameters configured in LoRA) were fine-tuned, reducing the number of trainable parameters and memory overhead. With LoRA, typically only a fraction (e.g., 0.1-0.5%) of the model’s parameters are updated.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Approximate breakdown: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- Total Parameters: ~1.3 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- Trainable parameters Parameters: 7680 (depends on Lora config)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Resources Used: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Hardware: Kaggle Notebook with 2 x NVIDIA T4 GPUs - 15 GB GPU Memory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Memory Configuration: 4-bit quantization and mixed precision (`float16`) to fit the model within GPU memory.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RAM and Disk: ~30 GB RAM, Kaggle’s standard disk capacity.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217422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174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Failure Cases and Corrections: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Failure Cases Corrected: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The fine-tuned model showed improved performance on samples with more straightforward logical relationships between the premise and hypothesis, especially in `entailment` and `contradiction` cases.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- This suggests the model learned common patterns or structures indicative of entailment and contradiction.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Persistent Failure Cases: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- Complex or Ambiguous Relationships: Instances where the relationship between the premise and hypothesis was subtle or context-dependent were still challenging.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- Explanation: The model, being trained on limited samples and only partially fine-tuned, might not have developed a nuanced understanding of complex language structures.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- Neutral Class: The model also struggled with `neutral` cases, which often require understanding nuanced or non-direct relationships between premise and hypothesis.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