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864" w:right="-864"/>
        <w:jc w:val="left"/>
      </w:pPr>
      <w:r>
        <w:rPr>
          <w:rFonts w:ascii="Calibri (Body)" w:hAnsi="Calibri (Body)"/>
          <w:b/>
          <w:sz w:val="40"/>
        </w:rPr>
        <w:t>N’OSAIRIS TECHNOLOGY SOLUTIONS                CONFIDENTIAL</w:t>
      </w:r>
    </w:p>
    <w:p>
      <w:pPr>
        <w:ind w:left="-864" w:right="-864"/>
        <w:jc w:val="center"/>
      </w:pPr>
      <w:r>
        <w:drawing>
          <wp:inline xmlns:a="http://schemas.openxmlformats.org/drawingml/2006/main" xmlns:pic="http://schemas.openxmlformats.org/drawingml/2006/picture">
            <wp:extent cx="6400800" cy="88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8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ind w:left="-1008" w:right="-432"/>
        <w:jc w:val="center"/>
      </w:pPr>
      <w:r>
        <w:drawing>
          <wp:inline xmlns:a="http://schemas.openxmlformats.org/drawingml/2006/main" xmlns:pic="http://schemas.openxmlformats.org/drawingml/2006/picture">
            <wp:extent cx="2834640" cy="14630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NX-EMONE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rPr>
          <w:rFonts w:ascii="Calibri (Body)" w:hAnsi="Calibri (Body)"/>
          <w:b/>
          <w:sz w:val="36"/>
        </w:rPr>
        <w:t>VINX MALAYSIA SDN. BHD</w:t>
      </w:r>
    </w:p>
    <w:p>
      <w:r>
        <w:br/>
        <w:br/>
      </w:r>
    </w:p>
    <w:p>
      <w:pPr>
        <w:jc w:val="center"/>
      </w:pPr>
      <w:r>
        <w:rPr>
          <w:rFonts w:ascii="Calibri (Body)" w:hAnsi="Calibri (Body)"/>
          <w:b/>
          <w:sz w:val="36"/>
        </w:rPr>
        <w:t>AVAILABILITY REPORT</w:t>
      </w:r>
    </w:p>
    <w:p>
      <w:pPr>
        <w:jc w:val="center"/>
      </w:pPr>
      <w:r>
        <w:rPr>
          <w:rFonts w:ascii="Calibri (Body)" w:hAnsi="Calibri (Body)"/>
          <w:b/>
          <w:sz w:val="36"/>
        </w:rPr>
        <w:t xml:space="preserve">1 March 2020 - 31 March 2020 </w:t>
      </w:r>
    </w:p>
    <w:p>
      <w:r>
        <w:br/>
        <w:t xml:space="preserve"> </w:t>
        <w:br/>
        <w:t xml:space="preserve"> </w:t>
        <w:br/>
      </w:r>
    </w:p>
    <w:p>
      <w:pPr>
        <w:jc w:val="center"/>
      </w:pPr>
      <w:r>
        <w:rPr>
          <w:rFonts w:ascii="Calibri (Body)" w:hAnsi="Calibri (Body)"/>
          <w:b w:val="0"/>
          <w:sz w:val="28"/>
        </w:rPr>
        <w:t>Submitted by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62456" cy="1645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sair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left="-720" w:right="-720"/>
        <w:jc w:val="left"/>
      </w:pPr>
      <w:r>
        <w:rPr>
          <w:rFonts w:ascii="Calibri (Body)" w:hAnsi="Calibri (Body)"/>
          <w:b/>
          <w:sz w:val="28"/>
        </w:rPr>
        <w:t>AVAILABILITY REPORT :</w:t>
      </w:r>
    </w:p>
    <w:p>
      <w:pPr>
        <w:ind w:left="-720" w:right="-720"/>
        <w:jc w:val="left"/>
      </w:pPr>
      <w:r>
        <w:rPr>
          <w:rFonts w:ascii="Calibri (Body)" w:hAnsi="Calibri (Body)"/>
          <w:b/>
          <w:sz w:val="28"/>
        </w:rPr>
        <w:t>Date :</w:t>
      </w:r>
      <w:r>
        <w:rPr>
          <w:rFonts w:ascii="Calibri (Body)" w:hAnsi="Calibri (Body)"/>
          <w:b w:val="0"/>
          <w:sz w:val="24"/>
        </w:rPr>
        <w:t xml:space="preserve">1 March 2020 - 31 March 2020 </w:t>
      </w:r>
    </w:p>
    <w:p>
      <w:pPr>
        <w:ind w:left="-720" w:right="-720"/>
        <w:jc w:val="left"/>
      </w:pPr>
    </w:p>
    <w:p>
      <w:pPr>
        <w:ind w:left="-720" w:right="-720"/>
        <w:jc w:val="left"/>
      </w:pPr>
      <w:r>
        <w:rPr>
          <w:rFonts w:ascii="Calibri (Body)" w:hAnsi="Calibri (Body)"/>
          <w:b/>
          <w:sz w:val="28"/>
        </w:rPr>
        <w:t>SLA Table: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  <w:tblInd w:w="-1200" w:type="dxa"/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NO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Site Name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Connectivity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From Date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To Date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Exact Site Uptime (mins)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Total Availability Time (mins)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Total Downtime (mins)</w:t>
            </w:r>
          </w:p>
        </w:tc>
        <w:tc>
          <w:tcPr>
            <w:tcW w:type="auto" w:w="1471"/>
            <w:shd w:fill="e6f026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18"/>
              </w:rPr>
              <w:t>Uptime (%)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Alor Setar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Ampang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Batu Pahat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Bukit Minyak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Bukit Rimau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Danau Kota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Falim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Kepong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Klang Jalan Kapar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Kluang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Kuantan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Midvalley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Penang Prai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Puchong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Putrajaya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Shah Alam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Sri Petaling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Subang Jaya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Sutera Utama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Tropicana 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Tun Hussein Onn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ABG Wangsa Maju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IPME/TM Unifi/3G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Ampang Utara 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Bandar Baru Klang (Bukit Raja)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Bandar Dato Onn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Bandar Puchong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Bandar Sunway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Bandar Utama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29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Bandaraya Melaka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Bukit Indah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Bukit Mertajam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Bukit Tinggi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Cheras Selatan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Equine Park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Falim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Ipoh Station 18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Kinta 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Klebang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Kota Bharu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Kuching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Kulai Jaya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Maluri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Melaka Store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Metro Prima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Midvalley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Nilai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Permas Jaya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Queensbay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Rawang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Seremban 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Shah Alam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Sri Manjung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Taiping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Taman University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Tebrau 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AMY Wangsa Maju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MaxValue  Bangsar South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58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MaxValue  Evo Bangi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59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MaxValue  New Desa Park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60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MaxValue  Quill 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61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MaxValue Palm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62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MaxValue Section 17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/TIME/4G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63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MaxValue Selayang Mall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64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MaxValue Velocity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65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 Danga Bay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/TM IPValue/3G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  <w:tr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66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Maxvalu United Point</w:t>
            </w:r>
          </w:p>
        </w:tc>
        <w:tc>
          <w:tcPr>
            <w:tcW w:type="auto" w:w="1471"/>
          </w:tcPr>
          <w:p>
            <w:pPr>
              <w:jc w:val="left"/>
            </w:pPr>
            <w:r>
              <w:rPr>
                <w:rFonts w:ascii="Calibri (Body)" w:hAnsi="Calibri (Body)"/>
                <w:color w:val="000000"/>
                <w:sz w:val="18"/>
              </w:rPr>
              <w:t>/TIME/3G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31/3/2020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44640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0</w:t>
            </w:r>
          </w:p>
        </w:tc>
        <w:tc>
          <w:tcPr>
            <w:tcW w:type="auto" w:w="1471"/>
          </w:tcPr>
          <w:p>
            <w:pPr>
              <w:jc w:val="center"/>
            </w:pPr>
            <w:r>
              <w:rPr>
                <w:rFonts w:ascii="Calibri (Body)" w:hAnsi="Calibri (Body)"/>
                <w:color w:val="000000"/>
                <w:sz w:val="18"/>
              </w:rPr>
              <w:t>100.0</w:t>
            </w:r>
          </w:p>
        </w:tc>
      </w:tr>
    </w:tbl>
    <w:p>
      <w:r>
        <w:br w:type="page"/>
      </w:r>
    </w:p>
    <w:p>
      <w:pPr>
        <w:ind w:left="-720" w:right="-720"/>
        <w:jc w:val="left"/>
      </w:pPr>
      <w:r>
        <w:rPr>
          <w:b/>
          <w:sz w:val="28"/>
        </w:rPr>
        <w:t>SLA Graphs :</w:t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589520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589520" cy="256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589520" cy="2560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589520" cy="2560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589520" cy="2560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-720" w:right="-720"/>
        <w:jc w:val="center"/>
      </w:pPr>
      <w:r>
        <w:drawing>
          <wp:inline xmlns:a="http://schemas.openxmlformats.org/drawingml/2006/main" xmlns:pic="http://schemas.openxmlformats.org/drawingml/2006/picture">
            <wp:extent cx="7589520" cy="25603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ind w:left="-720" w:right="-720"/>
      <w:jc w:val="center"/>
    </w:pPr>
    <w:r>
      <w:rPr>
        <w:rFonts w:ascii="Arial" w:hAnsi="Arial"/>
        <w:b/>
        <w:sz w:val="16"/>
      </w:rPr>
      <w:t xml:space="preserve">N’osairis Technology Solutions Sdn Bhd </w:t>
      <w:br/>
      <w:t xml:space="preserve"> Unit 9-6, Level 9, Tower B, Vertical Business Suite 2, Avenue 3, Bangsar South, No. 8, Jalan Kerinchi, 59200 Kuala Lumpur.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