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5765D" w14:textId="77777777" w:rsidR="00214508" w:rsidRPr="009D0794" w:rsidRDefault="00000000" w:rsidP="009D0794">
      <w:pPr>
        <w:pStyle w:val="Heading1"/>
        <w:jc w:val="center"/>
        <w:rPr>
          <w:sz w:val="52"/>
          <w:szCs w:val="52"/>
        </w:rPr>
      </w:pPr>
      <w:r w:rsidRPr="009D0794">
        <w:rPr>
          <w:sz w:val="52"/>
          <w:szCs w:val="52"/>
        </w:rPr>
        <w:t>Proposed Solution</w:t>
      </w:r>
    </w:p>
    <w:tbl>
      <w:tblPr>
        <w:tblStyle w:val="TableGrid"/>
        <w:tblW w:w="0" w:type="auto"/>
        <w:tblInd w:w="971" w:type="dxa"/>
        <w:tblLook w:val="04A0" w:firstRow="1" w:lastRow="0" w:firstColumn="1" w:lastColumn="0" w:noHBand="0" w:noVBand="1"/>
      </w:tblPr>
      <w:tblGrid>
        <w:gridCol w:w="4428"/>
        <w:gridCol w:w="4428"/>
      </w:tblGrid>
      <w:tr w:rsidR="009D0794" w:rsidRPr="009D0794" w14:paraId="60BA93B8" w14:textId="77777777" w:rsidTr="009F29B5">
        <w:tc>
          <w:tcPr>
            <w:tcW w:w="4428" w:type="dxa"/>
          </w:tcPr>
          <w:p w14:paraId="0492FD4B" w14:textId="77777777" w:rsidR="009D0794" w:rsidRPr="009D0794" w:rsidRDefault="009D0794" w:rsidP="0072313D">
            <w:r w:rsidRPr="009D0794">
              <w:t>Date</w:t>
            </w:r>
          </w:p>
        </w:tc>
        <w:tc>
          <w:tcPr>
            <w:tcW w:w="4428" w:type="dxa"/>
          </w:tcPr>
          <w:p w14:paraId="160BE0C5" w14:textId="77777777" w:rsidR="009D0794" w:rsidRPr="009D0794" w:rsidRDefault="009D0794" w:rsidP="0072313D">
            <w:r w:rsidRPr="009D0794">
              <w:t xml:space="preserve"> 01 July 2025</w:t>
            </w:r>
          </w:p>
        </w:tc>
      </w:tr>
      <w:tr w:rsidR="009D0794" w:rsidRPr="009D0794" w14:paraId="3F499292" w14:textId="77777777" w:rsidTr="009F29B5">
        <w:tc>
          <w:tcPr>
            <w:tcW w:w="4428" w:type="dxa"/>
          </w:tcPr>
          <w:p w14:paraId="70C1F5D9" w14:textId="77777777" w:rsidR="009D0794" w:rsidRPr="009D0794" w:rsidRDefault="009D0794" w:rsidP="0072313D">
            <w:r w:rsidRPr="009D0794">
              <w:t>Team ID</w:t>
            </w:r>
          </w:p>
        </w:tc>
        <w:tc>
          <w:tcPr>
            <w:tcW w:w="4428" w:type="dxa"/>
          </w:tcPr>
          <w:p w14:paraId="5C017746" w14:textId="77777777" w:rsidR="009D0794" w:rsidRPr="009D0794" w:rsidRDefault="009D0794" w:rsidP="0072313D">
            <w:r w:rsidRPr="009D0794">
              <w:t xml:space="preserve"> </w:t>
            </w:r>
            <w:r w:rsidRPr="009D0794">
              <w:rPr>
                <w:b/>
                <w:bCs/>
              </w:rPr>
              <w:t>LTVIP2025TMID48379</w:t>
            </w:r>
          </w:p>
        </w:tc>
      </w:tr>
      <w:tr w:rsidR="009D0794" w:rsidRPr="009F29B5" w14:paraId="0706619B" w14:textId="77777777" w:rsidTr="009F29B5">
        <w:tc>
          <w:tcPr>
            <w:tcW w:w="4428" w:type="dxa"/>
          </w:tcPr>
          <w:p w14:paraId="62E1D981" w14:textId="77777777" w:rsidR="009D0794" w:rsidRPr="009D0794" w:rsidRDefault="009D0794" w:rsidP="0072313D">
            <w:r w:rsidRPr="009D0794">
              <w:t>Project Name</w:t>
            </w:r>
          </w:p>
        </w:tc>
        <w:tc>
          <w:tcPr>
            <w:tcW w:w="4428" w:type="dxa"/>
          </w:tcPr>
          <w:p w14:paraId="0D621683" w14:textId="77777777" w:rsidR="009D0794" w:rsidRPr="009D0794" w:rsidRDefault="009D0794" w:rsidP="0072313D">
            <w:r w:rsidRPr="009D0794">
              <w:t xml:space="preserve"> </w:t>
            </w:r>
            <w:r w:rsidRPr="008C7912">
              <w:rPr>
                <w:b/>
                <w:bCs/>
              </w:rPr>
              <w:t>Student Health and Lifestyle Analysis</w:t>
            </w:r>
          </w:p>
        </w:tc>
      </w:tr>
    </w:tbl>
    <w:tbl>
      <w:tblPr>
        <w:tblStyle w:val="TableGrid"/>
        <w:tblpPr w:leftFromText="180" w:rightFromText="180" w:vertAnchor="text" w:horzAnchor="margin" w:tblpXSpec="center" w:tblpY="422"/>
        <w:tblW w:w="9747" w:type="dxa"/>
        <w:tblLook w:val="04A0" w:firstRow="1" w:lastRow="0" w:firstColumn="1" w:lastColumn="0" w:noHBand="0" w:noVBand="1"/>
      </w:tblPr>
      <w:tblGrid>
        <w:gridCol w:w="1642"/>
        <w:gridCol w:w="2719"/>
        <w:gridCol w:w="5386"/>
      </w:tblGrid>
      <w:tr w:rsidR="009F29B5" w14:paraId="08D16DA0" w14:textId="77777777" w:rsidTr="009F29B5">
        <w:tc>
          <w:tcPr>
            <w:tcW w:w="1642" w:type="dxa"/>
          </w:tcPr>
          <w:p w14:paraId="6A607133" w14:textId="77777777" w:rsidR="009F29B5" w:rsidRPr="009F29B5" w:rsidRDefault="009F29B5" w:rsidP="009F29B5">
            <w:pPr>
              <w:pStyle w:val="IntenseQuote"/>
              <w:pBdr>
                <w:bottom w:val="none" w:sz="0" w:space="0" w:color="auto"/>
              </w:pBdr>
              <w:ind w:left="0"/>
              <w:jc w:val="center"/>
              <w:rPr>
                <w:i w:val="0"/>
                <w:iCs w:val="0"/>
                <w:color w:val="auto"/>
              </w:rPr>
            </w:pPr>
            <w:proofErr w:type="gramStart"/>
            <w:r w:rsidRPr="009F29B5">
              <w:rPr>
                <w:i w:val="0"/>
                <w:iCs w:val="0"/>
                <w:color w:val="auto"/>
              </w:rPr>
              <w:t>S.No</w:t>
            </w:r>
            <w:proofErr w:type="gramEnd"/>
          </w:p>
        </w:tc>
        <w:tc>
          <w:tcPr>
            <w:tcW w:w="2719" w:type="dxa"/>
          </w:tcPr>
          <w:p w14:paraId="10E39243" w14:textId="77777777" w:rsidR="009F29B5" w:rsidRPr="009F29B5" w:rsidRDefault="009F29B5" w:rsidP="009F29B5">
            <w:pPr>
              <w:pStyle w:val="IntenseQuote"/>
              <w:pBdr>
                <w:bottom w:val="none" w:sz="0" w:space="0" w:color="auto"/>
              </w:pBdr>
              <w:ind w:left="0"/>
              <w:rPr>
                <w:i w:val="0"/>
                <w:iCs w:val="0"/>
                <w:color w:val="auto"/>
              </w:rPr>
            </w:pPr>
            <w:r w:rsidRPr="009F29B5">
              <w:rPr>
                <w:i w:val="0"/>
                <w:iCs w:val="0"/>
                <w:color w:val="auto"/>
              </w:rPr>
              <w:t>Parameter</w:t>
            </w:r>
          </w:p>
        </w:tc>
        <w:tc>
          <w:tcPr>
            <w:tcW w:w="5386" w:type="dxa"/>
          </w:tcPr>
          <w:p w14:paraId="056EDAED" w14:textId="77777777" w:rsidR="009F29B5" w:rsidRPr="009F29B5" w:rsidRDefault="009F29B5" w:rsidP="009F29B5">
            <w:pPr>
              <w:pStyle w:val="IntenseQuote"/>
              <w:pBdr>
                <w:bottom w:val="none" w:sz="0" w:space="0" w:color="auto"/>
              </w:pBdr>
              <w:ind w:left="0"/>
              <w:rPr>
                <w:i w:val="0"/>
                <w:iCs w:val="0"/>
                <w:color w:val="auto"/>
              </w:rPr>
            </w:pPr>
            <w:r w:rsidRPr="009F29B5">
              <w:rPr>
                <w:i w:val="0"/>
                <w:iCs w:val="0"/>
                <w:color w:val="auto"/>
              </w:rPr>
              <w:t>Description</w:t>
            </w:r>
          </w:p>
        </w:tc>
      </w:tr>
      <w:tr w:rsidR="009F29B5" w14:paraId="2B3EC30B" w14:textId="77777777" w:rsidTr="009F29B5">
        <w:tc>
          <w:tcPr>
            <w:tcW w:w="1642" w:type="dxa"/>
          </w:tcPr>
          <w:p w14:paraId="65673717"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 xml:space="preserve">1. </w:t>
            </w:r>
          </w:p>
        </w:tc>
        <w:tc>
          <w:tcPr>
            <w:tcW w:w="2719" w:type="dxa"/>
          </w:tcPr>
          <w:p w14:paraId="43B94E63" w14:textId="77777777" w:rsidR="009F29B5" w:rsidRPr="009F29B5" w:rsidRDefault="009F29B5" w:rsidP="009F29B5">
            <w:r w:rsidRPr="009F29B5">
              <w:t>Problem Statement (Problem to be solved)</w:t>
            </w:r>
          </w:p>
          <w:p w14:paraId="37010E6C" w14:textId="77777777" w:rsidR="009F29B5" w:rsidRPr="009F29B5" w:rsidRDefault="009F29B5" w:rsidP="009F29B5">
            <w:pPr>
              <w:pStyle w:val="IntenseQuote"/>
              <w:pBdr>
                <w:bottom w:val="none" w:sz="0" w:space="0" w:color="auto"/>
              </w:pBdr>
              <w:ind w:left="0"/>
              <w:rPr>
                <w:b w:val="0"/>
                <w:bCs w:val="0"/>
                <w:i w:val="0"/>
                <w:iCs w:val="0"/>
                <w:color w:val="auto"/>
              </w:rPr>
            </w:pPr>
          </w:p>
        </w:tc>
        <w:tc>
          <w:tcPr>
            <w:tcW w:w="5386" w:type="dxa"/>
          </w:tcPr>
          <w:p w14:paraId="3E9312A3" w14:textId="77777777" w:rsidR="009F29B5" w:rsidRPr="009F29B5" w:rsidRDefault="009F29B5" w:rsidP="009F29B5">
            <w:r w:rsidRPr="009F29B5">
              <w:t>There is a growing concern regarding students' lifestyle choices, such as unhealthy dietary habits, lack of physical activity, and irregular nutritional intake. These patterns contribute to negative health outcomes and affect academic performance and mental well-being.</w:t>
            </w:r>
          </w:p>
        </w:tc>
      </w:tr>
      <w:tr w:rsidR="009F29B5" w14:paraId="55FC4B20" w14:textId="77777777" w:rsidTr="009F29B5">
        <w:tc>
          <w:tcPr>
            <w:tcW w:w="1642" w:type="dxa"/>
          </w:tcPr>
          <w:p w14:paraId="21CD4FF2"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2.</w:t>
            </w:r>
          </w:p>
        </w:tc>
        <w:tc>
          <w:tcPr>
            <w:tcW w:w="2719" w:type="dxa"/>
          </w:tcPr>
          <w:p w14:paraId="5C80AD50"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Idea / Solution description</w:t>
            </w:r>
          </w:p>
        </w:tc>
        <w:tc>
          <w:tcPr>
            <w:tcW w:w="5386" w:type="dxa"/>
          </w:tcPr>
          <w:p w14:paraId="4F85AAF5" w14:textId="77777777" w:rsidR="009F29B5" w:rsidRPr="009F29B5" w:rsidRDefault="009F29B5" w:rsidP="009F29B5">
            <w:r w:rsidRPr="009F29B5">
              <w:t>Using Tableau dashboards, we visualize and analyze student lifestyle data to uncover correlations between nutrition, exercise, and academic performance. This solution enables targeted interventions by administrators, health professionals, or educators to promote healthier habits through personalized recommendations.</w:t>
            </w:r>
          </w:p>
        </w:tc>
      </w:tr>
      <w:tr w:rsidR="009F29B5" w14:paraId="34F23209" w14:textId="77777777" w:rsidTr="009F29B5">
        <w:tc>
          <w:tcPr>
            <w:tcW w:w="1642" w:type="dxa"/>
          </w:tcPr>
          <w:p w14:paraId="4ADAE776"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3.</w:t>
            </w:r>
          </w:p>
        </w:tc>
        <w:tc>
          <w:tcPr>
            <w:tcW w:w="2719" w:type="dxa"/>
          </w:tcPr>
          <w:p w14:paraId="4AEE75BB"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Novelty / Uniqueness</w:t>
            </w:r>
          </w:p>
        </w:tc>
        <w:tc>
          <w:tcPr>
            <w:tcW w:w="5386" w:type="dxa"/>
          </w:tcPr>
          <w:p w14:paraId="392754EF" w14:textId="77777777" w:rsidR="009F29B5" w:rsidRPr="009F29B5" w:rsidRDefault="009F29B5" w:rsidP="009F29B5">
            <w:r w:rsidRPr="009F29B5">
              <w:t>The integration of diverse lifestyle metrics—ranging from comfort food preferences to parental cooking habits—into interactive visual analytics allows for nuanced insights. Few platforms offer such granular, behavioral-based health profiling for student populations.</w:t>
            </w:r>
          </w:p>
        </w:tc>
      </w:tr>
      <w:tr w:rsidR="009F29B5" w14:paraId="0F58A918" w14:textId="77777777" w:rsidTr="009F29B5">
        <w:tc>
          <w:tcPr>
            <w:tcW w:w="1642" w:type="dxa"/>
          </w:tcPr>
          <w:p w14:paraId="4A765B9C"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4.</w:t>
            </w:r>
          </w:p>
        </w:tc>
        <w:tc>
          <w:tcPr>
            <w:tcW w:w="2719" w:type="dxa"/>
          </w:tcPr>
          <w:p w14:paraId="39A54F6E"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Social Impact / Customer Satisfaction</w:t>
            </w:r>
          </w:p>
        </w:tc>
        <w:tc>
          <w:tcPr>
            <w:tcW w:w="5386" w:type="dxa"/>
          </w:tcPr>
          <w:p w14:paraId="15E50E0C" w14:textId="77777777" w:rsidR="009F29B5" w:rsidRPr="009F29B5" w:rsidRDefault="009F29B5" w:rsidP="009F29B5">
            <w:r w:rsidRPr="009F29B5">
              <w:t>This solution can improve the overall health of students, promote awareness, and drive behavioral change. Stakeholders (e.g., universities, health departments) gain the ability to make data-informed decisions that enhance student satisfaction and well-being.</w:t>
            </w:r>
          </w:p>
        </w:tc>
      </w:tr>
      <w:tr w:rsidR="009F29B5" w14:paraId="2927F251" w14:textId="77777777" w:rsidTr="009F29B5">
        <w:tc>
          <w:tcPr>
            <w:tcW w:w="1642" w:type="dxa"/>
          </w:tcPr>
          <w:p w14:paraId="575BC32D"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5.</w:t>
            </w:r>
          </w:p>
        </w:tc>
        <w:tc>
          <w:tcPr>
            <w:tcW w:w="2719" w:type="dxa"/>
          </w:tcPr>
          <w:p w14:paraId="765B7DCB" w14:textId="77777777" w:rsidR="009F29B5" w:rsidRPr="009F29B5" w:rsidRDefault="009F29B5" w:rsidP="009F29B5">
            <w:r w:rsidRPr="009F29B5">
              <w:t>Business Model (Revenue Model)</w:t>
            </w:r>
          </w:p>
        </w:tc>
        <w:tc>
          <w:tcPr>
            <w:tcW w:w="5386" w:type="dxa"/>
          </w:tcPr>
          <w:p w14:paraId="2EF5DCE4"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color w:val="auto"/>
              </w:rPr>
              <w:t>The tool can be offered as a subscription-based analytics service for educational institutions and health startups focusing on youth wellness. Further monetization could involve licensing to NGOs or research organizations.</w:t>
            </w:r>
          </w:p>
        </w:tc>
      </w:tr>
      <w:tr w:rsidR="009F29B5" w14:paraId="725D8125" w14:textId="77777777" w:rsidTr="009F29B5">
        <w:tc>
          <w:tcPr>
            <w:tcW w:w="1642" w:type="dxa"/>
          </w:tcPr>
          <w:p w14:paraId="7C87DEF2" w14:textId="77777777" w:rsidR="009F29B5" w:rsidRPr="009F29B5" w:rsidRDefault="009F29B5" w:rsidP="009F29B5">
            <w:pPr>
              <w:pStyle w:val="IntenseQuote"/>
              <w:pBdr>
                <w:bottom w:val="none" w:sz="0" w:space="0" w:color="auto"/>
              </w:pBdr>
              <w:ind w:left="0"/>
              <w:rPr>
                <w:b w:val="0"/>
                <w:bCs w:val="0"/>
                <w:i w:val="0"/>
                <w:iCs w:val="0"/>
                <w:color w:val="auto"/>
              </w:rPr>
            </w:pPr>
            <w:r w:rsidRPr="009F29B5">
              <w:rPr>
                <w:b w:val="0"/>
                <w:bCs w:val="0"/>
                <w:i w:val="0"/>
                <w:iCs w:val="0"/>
                <w:color w:val="auto"/>
              </w:rPr>
              <w:t>6.</w:t>
            </w:r>
          </w:p>
        </w:tc>
        <w:tc>
          <w:tcPr>
            <w:tcW w:w="2719" w:type="dxa"/>
          </w:tcPr>
          <w:p w14:paraId="0380DBBC" w14:textId="77777777" w:rsidR="009F29B5" w:rsidRPr="009F29B5" w:rsidRDefault="009F29B5" w:rsidP="009F29B5">
            <w:r w:rsidRPr="009F29B5">
              <w:t>Scalability of the Solution</w:t>
            </w:r>
          </w:p>
        </w:tc>
        <w:tc>
          <w:tcPr>
            <w:tcW w:w="5386" w:type="dxa"/>
          </w:tcPr>
          <w:p w14:paraId="017A6B7B" w14:textId="77777777" w:rsidR="009F29B5" w:rsidRPr="009F29B5" w:rsidRDefault="009F29B5" w:rsidP="009F29B5">
            <w:r w:rsidRPr="009F29B5">
              <w:t>The data model and dashboards can be scaled across universities and even to workplace wellness programs. The underlying architecture supports expansion with minimal rework across domains.</w:t>
            </w:r>
          </w:p>
          <w:p w14:paraId="5079F94B" w14:textId="77777777" w:rsidR="009F29B5" w:rsidRPr="009F29B5" w:rsidRDefault="009F29B5" w:rsidP="009F29B5">
            <w:pPr>
              <w:pStyle w:val="IntenseQuote"/>
              <w:pBdr>
                <w:bottom w:val="none" w:sz="0" w:space="0" w:color="auto"/>
              </w:pBdr>
              <w:ind w:left="0"/>
              <w:rPr>
                <w:b w:val="0"/>
                <w:bCs w:val="0"/>
                <w:color w:val="auto"/>
              </w:rPr>
            </w:pPr>
          </w:p>
        </w:tc>
      </w:tr>
    </w:tbl>
    <w:p w14:paraId="6A3D3C1B" w14:textId="51330E0D" w:rsidR="00214508" w:rsidRDefault="00214508" w:rsidP="009F29B5">
      <w:pPr>
        <w:pStyle w:val="IntenseQuote"/>
        <w:ind w:left="0"/>
      </w:pPr>
    </w:p>
    <w:sectPr w:rsidR="00214508" w:rsidSect="009F29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7252418">
    <w:abstractNumId w:val="8"/>
  </w:num>
  <w:num w:numId="2" w16cid:durableId="265310056">
    <w:abstractNumId w:val="6"/>
  </w:num>
  <w:num w:numId="3" w16cid:durableId="1826118534">
    <w:abstractNumId w:val="5"/>
  </w:num>
  <w:num w:numId="4" w16cid:durableId="1840147645">
    <w:abstractNumId w:val="4"/>
  </w:num>
  <w:num w:numId="5" w16cid:durableId="1260261326">
    <w:abstractNumId w:val="7"/>
  </w:num>
  <w:num w:numId="6" w16cid:durableId="1718893367">
    <w:abstractNumId w:val="3"/>
  </w:num>
  <w:num w:numId="7" w16cid:durableId="1767922371">
    <w:abstractNumId w:val="2"/>
  </w:num>
  <w:num w:numId="8" w16cid:durableId="1851943389">
    <w:abstractNumId w:val="1"/>
  </w:num>
  <w:num w:numId="9" w16cid:durableId="3396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508"/>
    <w:rsid w:val="0029639D"/>
    <w:rsid w:val="00326F90"/>
    <w:rsid w:val="00902A0A"/>
    <w:rsid w:val="009D0794"/>
    <w:rsid w:val="009F29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D53CE"/>
  <w14:defaultImageDpi w14:val="300"/>
  <w15:docId w15:val="{EDF214A5-EE97-4503-B611-158241E8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Praneeth Nalamalapu</cp:lastModifiedBy>
  <cp:revision>2</cp:revision>
  <dcterms:created xsi:type="dcterms:W3CDTF">2013-12-23T23:15:00Z</dcterms:created>
  <dcterms:modified xsi:type="dcterms:W3CDTF">2025-07-01T13:31:00Z</dcterms:modified>
  <cp:category/>
</cp:coreProperties>
</file>