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</w:rPr>
        <w:id w:val="69438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E17A95" w:rsidRDefault="00E17A95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FA6E94ABDE544E5ADD44180547754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17A95" w:rsidRDefault="00E17A95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Executive Summary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D690D5AA7DC4D298F5EEBBA087A007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E17A95" w:rsidRDefault="00995547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Marketing Mix Modeling</w:t>
              </w:r>
            </w:p>
          </w:sdtContent>
        </w:sdt>
        <w:p w:rsidR="00E17A95" w:rsidRDefault="00E17A95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17A95" w:rsidRPr="00165EAA" w:rsidRDefault="00E17A9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5B9BD5" w:themeColor="accent1"/>
                                    <w:sz w:val="30"/>
                                    <w:szCs w:val="30"/>
                                  </w:rPr>
                                </w:pPr>
                              </w:p>
                              <w:p w:rsidR="00E17A95" w:rsidRPr="00165EAA" w:rsidRDefault="0099554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  <w:sz w:val="30"/>
                                    <w:szCs w:val="3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30"/>
                                      <w:szCs w:val="30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17A95" w:rsidRPr="00165EAA">
                                      <w:rPr>
                                        <w:caps/>
                                        <w:color w:val="5B9BD5" w:themeColor="accent1"/>
                                        <w:sz w:val="30"/>
                                        <w:szCs w:val="30"/>
                                      </w:rPr>
                                      <w:t>Solomon bibinu</w:t>
                                    </w:r>
                                  </w:sdtContent>
                                </w:sdt>
                              </w:p>
                              <w:p w:rsidR="00E17A95" w:rsidRPr="00165EAA" w:rsidRDefault="0099554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  <w:sz w:val="30"/>
                                    <w:szCs w:val="30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0"/>
                                      <w:szCs w:val="3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17A95" w:rsidRPr="00165EAA">
                                      <w:rPr>
                                        <w:color w:val="5B9BD5" w:themeColor="accent1"/>
                                        <w:sz w:val="30"/>
                                        <w:szCs w:val="3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E17A95" w:rsidRPr="00165EAA" w:rsidRDefault="00E17A9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30"/>
                              <w:szCs w:val="30"/>
                            </w:rPr>
                          </w:pPr>
                        </w:p>
                        <w:p w:rsidR="00E17A95" w:rsidRPr="00165EAA" w:rsidRDefault="00DB058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  <w:sz w:val="30"/>
                              <w:szCs w:val="30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30"/>
                                <w:szCs w:val="30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17A95" w:rsidRPr="00165EAA">
                                <w:rPr>
                                  <w:caps/>
                                  <w:color w:val="5B9BD5" w:themeColor="accent1"/>
                                  <w:sz w:val="30"/>
                                  <w:szCs w:val="30"/>
                                </w:rPr>
                                <w:t>Solomon bibinu</w:t>
                              </w:r>
                            </w:sdtContent>
                          </w:sdt>
                        </w:p>
                        <w:p w:rsidR="00E17A95" w:rsidRPr="00165EAA" w:rsidRDefault="00DB058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  <w:sz w:val="30"/>
                              <w:szCs w:val="30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0"/>
                                <w:szCs w:val="3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17A95" w:rsidRPr="00165EAA">
                                <w:rPr>
                                  <w:color w:val="5B9BD5" w:themeColor="accent1"/>
                                  <w:sz w:val="30"/>
                                  <w:szCs w:val="3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17A95" w:rsidRDefault="00E17A95">
          <w:r>
            <w:br w:type="page"/>
          </w:r>
        </w:p>
      </w:sdtContent>
    </w:sdt>
    <w:p w:rsidR="00212159" w:rsidRDefault="00212159">
      <w:p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M</w:t>
      </w:r>
      <w:r w:rsidRPr="00212159">
        <w:rPr>
          <w:sz w:val="40"/>
          <w:szCs w:val="40"/>
        </w:rPr>
        <w:t xml:space="preserve">arketing analysis has identified a significant efficiency gap within the company’s cumulative media investment. By analyzing 120 weeks of historical data, I developed a predictive model that explains </w:t>
      </w:r>
      <w:r w:rsidRPr="00212159">
        <w:rPr>
          <w:b/>
          <w:bCs/>
          <w:sz w:val="40"/>
          <w:szCs w:val="40"/>
        </w:rPr>
        <w:t>78% of sales fluctuations</w:t>
      </w:r>
      <w:r>
        <w:rPr>
          <w:b/>
          <w:bCs/>
          <w:sz w:val="40"/>
          <w:szCs w:val="40"/>
        </w:rPr>
        <w:t>.</w:t>
      </w:r>
    </w:p>
    <w:p w:rsidR="00E17A95" w:rsidRDefault="00212159">
      <w:pPr>
        <w:rPr>
          <w:sz w:val="40"/>
          <w:szCs w:val="40"/>
        </w:rPr>
      </w:pPr>
      <w:r w:rsidRPr="00212159">
        <w:rPr>
          <w:sz w:val="40"/>
          <w:szCs w:val="40"/>
        </w:rPr>
        <w:t xml:space="preserve">The primary value of this project is the transition from static reporting to </w:t>
      </w:r>
      <w:r w:rsidRPr="00212159">
        <w:rPr>
          <w:b/>
          <w:bCs/>
          <w:sz w:val="40"/>
          <w:szCs w:val="40"/>
        </w:rPr>
        <w:t>Dynamic Decision Support</w:t>
      </w:r>
      <w:r w:rsidRPr="00212159">
        <w:rPr>
          <w:sz w:val="40"/>
          <w:szCs w:val="40"/>
        </w:rPr>
        <w:t xml:space="preserve"> via the deployed Marketing Mix Modeling Dashboard. This tool allows leadership to move from hindsight to active foresight, providing a high-confidence environment to identify "wasted spend" in low-impact channels and recapture revenue that was previously unquantified.</w:t>
      </w: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82D4A" w:rsidRDefault="00282D4A">
      <w:pPr>
        <w:rPr>
          <w:sz w:val="40"/>
          <w:szCs w:val="40"/>
        </w:rPr>
      </w:pPr>
    </w:p>
    <w:p w:rsidR="00212159" w:rsidRDefault="00212159">
      <w:pPr>
        <w:rPr>
          <w:sz w:val="40"/>
          <w:szCs w:val="40"/>
        </w:rPr>
      </w:pPr>
    </w:p>
    <w:p w:rsidR="00212159" w:rsidRPr="00212159" w:rsidRDefault="00212159" w:rsidP="00212159">
      <w:pPr>
        <w:pStyle w:val="Heading1"/>
        <w:rPr>
          <w:b/>
        </w:rPr>
      </w:pPr>
      <w:r w:rsidRPr="00212159">
        <w:rPr>
          <w:b/>
        </w:rPr>
        <w:lastRenderedPageBreak/>
        <w:t>Strategic Di</w:t>
      </w:r>
      <w:r>
        <w:rPr>
          <w:b/>
        </w:rPr>
        <w:t xml:space="preserve">agnosis: What Drives </w:t>
      </w:r>
      <w:r w:rsidRPr="00212159">
        <w:rPr>
          <w:b/>
        </w:rPr>
        <w:t>Revenue?</w:t>
      </w:r>
    </w:p>
    <w:p w:rsidR="00212159" w:rsidRPr="00212159" w:rsidRDefault="00212159" w:rsidP="00212159">
      <w:pPr>
        <w:rPr>
          <w:b/>
          <w:sz w:val="40"/>
          <w:szCs w:val="40"/>
        </w:rPr>
      </w:pPr>
      <w:r w:rsidRPr="00212159">
        <w:rPr>
          <w:sz w:val="40"/>
          <w:szCs w:val="40"/>
        </w:rPr>
        <w:t>Data analysis revealed that current budget performance is driven by two specific structural factors:</w:t>
      </w:r>
    </w:p>
    <w:p w:rsidR="00E17A95" w:rsidRDefault="00E17A95" w:rsidP="00E17A95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T</w:t>
      </w:r>
      <w:r w:rsidR="00212159" w:rsidRPr="00212159">
        <w:rPr>
          <w:b/>
          <w:bCs/>
          <w:sz w:val="40"/>
          <w:szCs w:val="40"/>
        </w:rPr>
        <w:t xml:space="preserve">he </w:t>
      </w:r>
      <w:proofErr w:type="spellStart"/>
      <w:r w:rsidR="00212159" w:rsidRPr="00212159">
        <w:rPr>
          <w:b/>
          <w:bCs/>
          <w:sz w:val="40"/>
          <w:szCs w:val="40"/>
        </w:rPr>
        <w:t>Adstock</w:t>
      </w:r>
      <w:proofErr w:type="spellEnd"/>
      <w:r w:rsidR="00212159" w:rsidRPr="00212159">
        <w:rPr>
          <w:b/>
          <w:bCs/>
          <w:sz w:val="40"/>
          <w:szCs w:val="40"/>
        </w:rPr>
        <w:t xml:space="preserve"> Gap</w:t>
      </w:r>
      <w:r w:rsidR="00212159" w:rsidRPr="00212159">
        <w:rPr>
          <w:b/>
          <w:sz w:val="40"/>
          <w:szCs w:val="40"/>
        </w:rPr>
        <w:t>:</w:t>
      </w:r>
    </w:p>
    <w:p w:rsidR="00212159" w:rsidRPr="00212159" w:rsidRDefault="00212159" w:rsidP="00212159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t>High-Impact Anchors</w:t>
      </w:r>
      <w:r w:rsidRPr="00212159">
        <w:rPr>
          <w:sz w:val="40"/>
          <w:szCs w:val="40"/>
        </w:rPr>
        <w:t xml:space="preserve">: </w:t>
      </w:r>
      <w:r w:rsidRPr="00212159">
        <w:rPr>
          <w:b/>
          <w:bCs/>
          <w:sz w:val="40"/>
          <w:szCs w:val="40"/>
        </w:rPr>
        <w:t xml:space="preserve">Affiliate Impressions </w:t>
      </w:r>
      <w:r>
        <w:rPr>
          <w:rFonts w:cstheme="minorHAnsi"/>
          <w:b/>
          <w:bCs/>
          <w:sz w:val="40"/>
          <w:szCs w:val="40"/>
        </w:rPr>
        <w:t>α</w:t>
      </w:r>
      <w:r>
        <w:rPr>
          <w:b/>
          <w:bCs/>
          <w:sz w:val="40"/>
          <w:szCs w:val="40"/>
        </w:rPr>
        <w:t xml:space="preserve"> </w:t>
      </w:r>
      <w:r w:rsidRPr="00212159">
        <w:rPr>
          <w:b/>
          <w:bCs/>
          <w:sz w:val="40"/>
          <w:szCs w:val="40"/>
        </w:rPr>
        <w:t>=</w:t>
      </w:r>
      <w:r>
        <w:rPr>
          <w:b/>
          <w:bCs/>
          <w:sz w:val="40"/>
          <w:szCs w:val="40"/>
        </w:rPr>
        <w:t xml:space="preserve"> 0.95</w:t>
      </w:r>
      <w:r w:rsidRPr="00212159">
        <w:rPr>
          <w:b/>
          <w:bCs/>
          <w:sz w:val="40"/>
          <w:szCs w:val="40"/>
        </w:rPr>
        <w:t>)</w:t>
      </w:r>
      <w:r w:rsidRPr="00212159">
        <w:rPr>
          <w:sz w:val="40"/>
          <w:szCs w:val="40"/>
        </w:rPr>
        <w:t xml:space="preserve"> and </w:t>
      </w:r>
      <w:r w:rsidRPr="00212159">
        <w:rPr>
          <w:b/>
          <w:bCs/>
          <w:sz w:val="40"/>
          <w:szCs w:val="40"/>
        </w:rPr>
        <w:t xml:space="preserve">Organic Views </w:t>
      </w:r>
      <w:r>
        <w:rPr>
          <w:rFonts w:cstheme="minorHAnsi"/>
          <w:b/>
          <w:bCs/>
          <w:sz w:val="40"/>
          <w:szCs w:val="40"/>
        </w:rPr>
        <w:t>α</w:t>
      </w:r>
      <w:r>
        <w:rPr>
          <w:b/>
          <w:bCs/>
          <w:sz w:val="40"/>
          <w:szCs w:val="40"/>
        </w:rPr>
        <w:t xml:space="preserve"> </w:t>
      </w:r>
      <w:r w:rsidRPr="00212159">
        <w:rPr>
          <w:b/>
          <w:bCs/>
          <w:sz w:val="40"/>
          <w:szCs w:val="40"/>
        </w:rPr>
        <w:t>=</w:t>
      </w:r>
      <w:r>
        <w:rPr>
          <w:b/>
          <w:bCs/>
          <w:sz w:val="40"/>
          <w:szCs w:val="40"/>
        </w:rPr>
        <w:t xml:space="preserve"> 0.90</w:t>
      </w:r>
      <w:r w:rsidRPr="00212159">
        <w:rPr>
          <w:b/>
          <w:bCs/>
          <w:sz w:val="40"/>
          <w:szCs w:val="40"/>
        </w:rPr>
        <w:t>)</w:t>
      </w:r>
      <w:r w:rsidRPr="00212159">
        <w:rPr>
          <w:sz w:val="40"/>
          <w:szCs w:val="40"/>
        </w:rPr>
        <w:t xml:space="preserve"> are our strongest long-term drivers. A spike in these channels stays in the system nearly forever, suggesting these users are highly embedded.</w:t>
      </w:r>
    </w:p>
    <w:p w:rsidR="00484B51" w:rsidRPr="00212159" w:rsidRDefault="00212159" w:rsidP="00212159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</w:t>
      </w:r>
      <w:r w:rsidRPr="00212159">
        <w:rPr>
          <w:sz w:val="40"/>
          <w:szCs w:val="40"/>
        </w:rPr>
        <w:t xml:space="preserve">hannels like </w:t>
      </w:r>
      <w:r w:rsidRPr="00212159">
        <w:rPr>
          <w:b/>
          <w:bCs/>
          <w:sz w:val="40"/>
          <w:szCs w:val="40"/>
        </w:rPr>
        <w:t xml:space="preserve">Paid Views </w:t>
      </w:r>
      <w:r>
        <w:rPr>
          <w:rFonts w:cstheme="minorHAnsi"/>
          <w:b/>
          <w:bCs/>
          <w:sz w:val="40"/>
          <w:szCs w:val="40"/>
        </w:rPr>
        <w:t>α</w:t>
      </w:r>
      <w:r>
        <w:rPr>
          <w:b/>
          <w:bCs/>
          <w:sz w:val="40"/>
          <w:szCs w:val="40"/>
        </w:rPr>
        <w:t xml:space="preserve"> </w:t>
      </w:r>
      <w:r w:rsidRPr="00212159">
        <w:rPr>
          <w:b/>
          <w:bCs/>
          <w:sz w:val="40"/>
          <w:szCs w:val="40"/>
        </w:rPr>
        <w:t>=</w:t>
      </w:r>
      <w:r>
        <w:rPr>
          <w:b/>
          <w:bCs/>
          <w:sz w:val="40"/>
          <w:szCs w:val="40"/>
        </w:rPr>
        <w:t xml:space="preserve"> 0.05</w:t>
      </w:r>
      <w:r w:rsidRPr="00212159">
        <w:rPr>
          <w:b/>
          <w:bCs/>
          <w:sz w:val="40"/>
          <w:szCs w:val="40"/>
        </w:rPr>
        <w:t>)</w:t>
      </w:r>
      <w:r w:rsidRPr="00212159">
        <w:rPr>
          <w:sz w:val="40"/>
          <w:szCs w:val="40"/>
        </w:rPr>
        <w:t xml:space="preserve"> show zero memory and exhibit over 40% zero-value weeks in the data. They act as tactical triggers that only work while being actively "pumped".</w:t>
      </w:r>
    </w:p>
    <w:p w:rsidR="00E17A95" w:rsidRDefault="00E17A95" w:rsidP="00E17A95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</w:t>
      </w:r>
      <w:r w:rsidR="00212159" w:rsidRPr="00212159">
        <w:rPr>
          <w:b/>
          <w:sz w:val="40"/>
          <w:szCs w:val="40"/>
        </w:rPr>
        <w:t>Seasonality Effec</w:t>
      </w:r>
      <w:r w:rsidR="00212159">
        <w:rPr>
          <w:b/>
          <w:sz w:val="40"/>
          <w:szCs w:val="40"/>
        </w:rPr>
        <w:t>t</w:t>
      </w:r>
      <w:r>
        <w:rPr>
          <w:b/>
          <w:sz w:val="40"/>
          <w:szCs w:val="40"/>
        </w:rPr>
        <w:t>:</w:t>
      </w:r>
    </w:p>
    <w:p w:rsidR="00212159" w:rsidRDefault="00212159" w:rsidP="00212159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 w:rsidRPr="00212159">
        <w:rPr>
          <w:sz w:val="40"/>
          <w:szCs w:val="40"/>
        </w:rPr>
        <w:t>Approximately</w:t>
      </w:r>
      <w:r w:rsidRPr="00212159">
        <w:rPr>
          <w:b/>
          <w:sz w:val="40"/>
          <w:szCs w:val="40"/>
        </w:rPr>
        <w:t xml:space="preserve"> </w:t>
      </w:r>
      <w:r w:rsidRPr="00212159">
        <w:rPr>
          <w:b/>
          <w:bCs/>
          <w:sz w:val="40"/>
          <w:szCs w:val="40"/>
        </w:rPr>
        <w:t>15% of Q4 success</w:t>
      </w:r>
      <w:r w:rsidRPr="00212159">
        <w:rPr>
          <w:sz w:val="40"/>
          <w:szCs w:val="40"/>
        </w:rPr>
        <w:t xml:space="preserve"> is driven by organic holiday demand (November seasonality</w:t>
      </w:r>
      <w:r>
        <w:rPr>
          <w:sz w:val="40"/>
          <w:szCs w:val="40"/>
        </w:rPr>
        <w:t>).</w:t>
      </w:r>
    </w:p>
    <w:p w:rsidR="00282D4A" w:rsidRPr="00212159" w:rsidRDefault="00212159" w:rsidP="00E17A95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 w:rsidRPr="00212159">
        <w:rPr>
          <w:b/>
          <w:bCs/>
          <w:sz w:val="40"/>
          <w:szCs w:val="40"/>
        </w:rPr>
        <w:t>Insight</w:t>
      </w:r>
      <w:r w:rsidRPr="00212159">
        <w:rPr>
          <w:b/>
          <w:sz w:val="40"/>
          <w:szCs w:val="40"/>
        </w:rPr>
        <w:t xml:space="preserve">: </w:t>
      </w:r>
      <w:r w:rsidRPr="00212159">
        <w:rPr>
          <w:sz w:val="40"/>
          <w:szCs w:val="40"/>
        </w:rPr>
        <w:t>The mode</w:t>
      </w:r>
      <w:r>
        <w:rPr>
          <w:sz w:val="40"/>
          <w:szCs w:val="40"/>
        </w:rPr>
        <w:t xml:space="preserve">l isolates this baseline, </w:t>
      </w:r>
      <w:r w:rsidRPr="00212159">
        <w:rPr>
          <w:sz w:val="40"/>
          <w:szCs w:val="40"/>
        </w:rPr>
        <w:t>allowing for budget planning that is net of seasonality rather than over-attributing holiday demand to media brilliance.</w:t>
      </w:r>
    </w:p>
    <w:p w:rsidR="00212159" w:rsidRPr="00212159" w:rsidRDefault="00212159" w:rsidP="00212159">
      <w:pPr>
        <w:pStyle w:val="ListParagraph"/>
        <w:ind w:left="1440"/>
        <w:rPr>
          <w:b/>
          <w:sz w:val="40"/>
          <w:szCs w:val="40"/>
        </w:rPr>
      </w:pPr>
    </w:p>
    <w:p w:rsidR="00484B51" w:rsidRDefault="00484B51" w:rsidP="00E17A95">
      <w:pPr>
        <w:rPr>
          <w:b/>
          <w:sz w:val="40"/>
          <w:szCs w:val="40"/>
        </w:rPr>
      </w:pPr>
    </w:p>
    <w:p w:rsidR="00212159" w:rsidRPr="00212159" w:rsidRDefault="00212159" w:rsidP="00212159">
      <w:pPr>
        <w:pStyle w:val="Heading1"/>
        <w:rPr>
          <w:b/>
        </w:rPr>
      </w:pPr>
      <w:r w:rsidRPr="00212159">
        <w:rPr>
          <w:b/>
        </w:rPr>
        <w:lastRenderedPageBreak/>
        <w:t>Strategic Recommendations</w:t>
      </w:r>
    </w:p>
    <w:p w:rsidR="00DB0585" w:rsidRDefault="00212159" w:rsidP="00DB058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t>Prioritize Google and Facebook</w:t>
      </w:r>
      <w:r w:rsidRPr="00212159">
        <w:rPr>
          <w:b/>
          <w:sz w:val="40"/>
          <w:szCs w:val="40"/>
        </w:rPr>
        <w:t>:</w:t>
      </w:r>
      <w:r w:rsidRPr="00212159">
        <w:rPr>
          <w:sz w:val="40"/>
          <w:szCs w:val="40"/>
        </w:rPr>
        <w:t xml:space="preserve"> These channels show the best intersection of sales correlation, sheer scale, and healthy decay </w:t>
      </w:r>
      <w:r w:rsidRPr="00212159">
        <w:rPr>
          <w:b/>
          <w:sz w:val="40"/>
          <w:szCs w:val="40"/>
        </w:rPr>
        <w:t>(</w:t>
      </w:r>
      <w:r w:rsidRPr="00212159">
        <w:rPr>
          <w:rFonts w:cstheme="minorHAnsi"/>
          <w:b/>
          <w:sz w:val="40"/>
          <w:szCs w:val="40"/>
        </w:rPr>
        <w:t>α</w:t>
      </w:r>
      <w:r w:rsidRPr="00212159">
        <w:rPr>
          <w:b/>
          <w:sz w:val="40"/>
          <w:szCs w:val="40"/>
        </w:rPr>
        <w:t xml:space="preserve"> = 0.70-0.75).</w:t>
      </w:r>
      <w:r w:rsidRPr="00212159">
        <w:rPr>
          <w:sz w:val="40"/>
          <w:szCs w:val="40"/>
        </w:rPr>
        <w:t xml:space="preserve"> They should remain the primary focus for major marketing efforts.</w:t>
      </w:r>
    </w:p>
    <w:p w:rsidR="00DB0585" w:rsidRPr="00DB0585" w:rsidRDefault="00DB0585" w:rsidP="00DB0585">
      <w:pPr>
        <w:rPr>
          <w:sz w:val="40"/>
          <w:szCs w:val="40"/>
        </w:rPr>
      </w:pPr>
      <w:r w:rsidRPr="00DB0585">
        <w:rPr>
          <w:noProof/>
          <w:sz w:val="40"/>
          <w:szCs w:val="40"/>
        </w:rPr>
        <w:drawing>
          <wp:inline distT="0" distB="0" distL="0" distR="0" wp14:anchorId="5B9EA073" wp14:editId="106E6512">
            <wp:extent cx="4791075" cy="570782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354" cy="571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59" w:rsidRDefault="00212159" w:rsidP="0021215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lastRenderedPageBreak/>
        <w:t>Reallocate Tactical Spend</w:t>
      </w:r>
      <w:r w:rsidRPr="00212159">
        <w:rPr>
          <w:sz w:val="40"/>
          <w:szCs w:val="40"/>
        </w:rPr>
        <w:t xml:space="preserve">: Relegate </w:t>
      </w:r>
      <w:r w:rsidRPr="00212159">
        <w:rPr>
          <w:b/>
          <w:bCs/>
          <w:sz w:val="40"/>
          <w:szCs w:val="40"/>
        </w:rPr>
        <w:t>Paid Views</w:t>
      </w:r>
      <w:r w:rsidRPr="00212159">
        <w:rPr>
          <w:sz w:val="40"/>
          <w:szCs w:val="40"/>
        </w:rPr>
        <w:t xml:space="preserve"> </w:t>
      </w:r>
      <w:r>
        <w:rPr>
          <w:sz w:val="40"/>
          <w:szCs w:val="40"/>
        </w:rPr>
        <w:t>to a need-by-need</w:t>
      </w:r>
      <w:r w:rsidRPr="00212159">
        <w:rPr>
          <w:sz w:val="40"/>
          <w:szCs w:val="40"/>
        </w:rPr>
        <w:t xml:space="preserve"> basis for short-term spikes. They will not build the brand baseline or provide a stable long-term sales floor.</w:t>
      </w:r>
    </w:p>
    <w:p w:rsidR="00212159" w:rsidRDefault="00212159" w:rsidP="0021215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t>Leverage Affiliate Longevity</w:t>
      </w:r>
      <w:r w:rsidRPr="00212159">
        <w:rPr>
          <w:sz w:val="40"/>
          <w:szCs w:val="40"/>
        </w:rPr>
        <w:t xml:space="preserve">: Encourage and expand </w:t>
      </w:r>
      <w:r w:rsidRPr="00212159">
        <w:rPr>
          <w:b/>
          <w:bCs/>
          <w:sz w:val="40"/>
          <w:szCs w:val="40"/>
        </w:rPr>
        <w:t>Affiliate Partnerships</w:t>
      </w:r>
      <w:r w:rsidRPr="00212159">
        <w:rPr>
          <w:sz w:val="40"/>
          <w:szCs w:val="40"/>
        </w:rPr>
        <w:t xml:space="preserve"> to take advantage of their excep</w:t>
      </w:r>
      <w:r>
        <w:rPr>
          <w:sz w:val="40"/>
          <w:szCs w:val="40"/>
        </w:rPr>
        <w:t>tionally long decay and anchor</w:t>
      </w:r>
      <w:r w:rsidRPr="00212159">
        <w:rPr>
          <w:sz w:val="40"/>
          <w:szCs w:val="40"/>
        </w:rPr>
        <w:t xml:space="preserve"> effect on sales.</w:t>
      </w:r>
    </w:p>
    <w:p w:rsidR="00212159" w:rsidRPr="00212159" w:rsidRDefault="00212159" w:rsidP="0021215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t>Adopt Seasonality-Aware Planning</w:t>
      </w:r>
      <w:r w:rsidRPr="00212159">
        <w:rPr>
          <w:sz w:val="40"/>
          <w:szCs w:val="40"/>
        </w:rPr>
        <w:t>: Use the dashboard's month dummies to adjust Q4 spend levels, preventing over-spending during peak months where organic demand is already doing the heavy lifting.</w:t>
      </w:r>
    </w:p>
    <w:p w:rsidR="00E17A95" w:rsidRPr="00212159" w:rsidRDefault="00E17A95" w:rsidP="00212159">
      <w:pPr>
        <w:rPr>
          <w:sz w:val="40"/>
          <w:szCs w:val="40"/>
        </w:rPr>
      </w:pPr>
    </w:p>
    <w:p w:rsidR="00282D4A" w:rsidRDefault="00282D4A" w:rsidP="00E17A95">
      <w:pPr>
        <w:rPr>
          <w:b/>
          <w:sz w:val="40"/>
          <w:szCs w:val="40"/>
        </w:rPr>
      </w:pPr>
    </w:p>
    <w:p w:rsidR="00282D4A" w:rsidRDefault="00282D4A" w:rsidP="00E17A95">
      <w:pPr>
        <w:rPr>
          <w:b/>
          <w:sz w:val="40"/>
          <w:szCs w:val="40"/>
        </w:rPr>
      </w:pPr>
    </w:p>
    <w:p w:rsidR="00282D4A" w:rsidRDefault="00282D4A" w:rsidP="00E17A95">
      <w:pPr>
        <w:rPr>
          <w:b/>
          <w:sz w:val="40"/>
          <w:szCs w:val="40"/>
        </w:rPr>
      </w:pPr>
    </w:p>
    <w:p w:rsidR="00282D4A" w:rsidRDefault="00282D4A" w:rsidP="00E17A95">
      <w:pPr>
        <w:rPr>
          <w:b/>
          <w:sz w:val="40"/>
          <w:szCs w:val="40"/>
        </w:rPr>
      </w:pPr>
    </w:p>
    <w:p w:rsidR="00212159" w:rsidRPr="00212159" w:rsidRDefault="00212159" w:rsidP="00212159">
      <w:pPr>
        <w:pStyle w:val="Heading1"/>
        <w:rPr>
          <w:b/>
        </w:rPr>
      </w:pPr>
      <w:r w:rsidRPr="00212159">
        <w:rPr>
          <w:b/>
        </w:rPr>
        <w:t>Technical Integrity</w:t>
      </w:r>
    </w:p>
    <w:p w:rsidR="00212159" w:rsidRPr="00212159" w:rsidRDefault="00212159" w:rsidP="0021215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t>Predictive Strength</w:t>
      </w:r>
      <w:r w:rsidRPr="00212159">
        <w:rPr>
          <w:sz w:val="40"/>
          <w:szCs w:val="40"/>
        </w:rPr>
        <w:t xml:space="preserve">: The </w:t>
      </w:r>
      <w:r>
        <w:rPr>
          <w:b/>
          <w:bCs/>
          <w:sz w:val="40"/>
          <w:szCs w:val="40"/>
        </w:rPr>
        <w:t>0.78</w:t>
      </w:r>
      <w:r w:rsidR="00DB058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R</w:t>
      </w:r>
      <w:r>
        <w:rPr>
          <w:rFonts w:cstheme="minorHAnsi"/>
          <w:b/>
          <w:bCs/>
          <w:sz w:val="40"/>
          <w:szCs w:val="40"/>
        </w:rPr>
        <w:t>²</w:t>
      </w:r>
      <w:r>
        <w:rPr>
          <w:b/>
          <w:bCs/>
          <w:sz w:val="40"/>
          <w:szCs w:val="40"/>
        </w:rPr>
        <w:t xml:space="preserve"> </w:t>
      </w:r>
      <w:r w:rsidRPr="00212159">
        <w:rPr>
          <w:sz w:val="40"/>
          <w:szCs w:val="40"/>
        </w:rPr>
        <w:t>score provides high confidence that the dashboard's outputs are grounded in real historical patterns</w:t>
      </w:r>
    </w:p>
    <w:p w:rsidR="00876DC2" w:rsidRPr="00212159" w:rsidRDefault="00212159" w:rsidP="0021215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159">
        <w:rPr>
          <w:b/>
          <w:bCs/>
          <w:sz w:val="40"/>
          <w:szCs w:val="40"/>
        </w:rPr>
        <w:lastRenderedPageBreak/>
        <w:t>Observational Guardrail</w:t>
      </w:r>
      <w:r w:rsidRPr="00212159">
        <w:rPr>
          <w:sz w:val="40"/>
          <w:szCs w:val="40"/>
        </w:rPr>
        <w:t>: The model identifies associations based on historical data. To confirm causal impact, I recommend running a 4-week geo-lift test in a high-performing division before implementing major budget reallocations.</w:t>
      </w:r>
    </w:p>
    <w:p w:rsidR="00876DC2" w:rsidRPr="00165EAA" w:rsidRDefault="00876DC2" w:rsidP="00876DC2">
      <w:pPr>
        <w:rPr>
          <w:sz w:val="40"/>
          <w:szCs w:val="40"/>
        </w:rPr>
      </w:pPr>
    </w:p>
    <w:sectPr w:rsidR="00876DC2" w:rsidRPr="00165EAA" w:rsidSect="00E17A9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664FD"/>
    <w:multiLevelType w:val="multilevel"/>
    <w:tmpl w:val="1A4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D87F47"/>
    <w:multiLevelType w:val="hybridMultilevel"/>
    <w:tmpl w:val="89B0C374"/>
    <w:lvl w:ilvl="0" w:tplc="E786AA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007657C"/>
    <w:multiLevelType w:val="hybridMultilevel"/>
    <w:tmpl w:val="2ED4D784"/>
    <w:lvl w:ilvl="0" w:tplc="997CB4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00C"/>
    <w:rsid w:val="00107864"/>
    <w:rsid w:val="00142652"/>
    <w:rsid w:val="00165EAA"/>
    <w:rsid w:val="00212159"/>
    <w:rsid w:val="00282D4A"/>
    <w:rsid w:val="003665DC"/>
    <w:rsid w:val="00484B51"/>
    <w:rsid w:val="006C3306"/>
    <w:rsid w:val="006F5FA6"/>
    <w:rsid w:val="0086600C"/>
    <w:rsid w:val="00876DC2"/>
    <w:rsid w:val="008C0C43"/>
    <w:rsid w:val="00995547"/>
    <w:rsid w:val="00AF11D8"/>
    <w:rsid w:val="00C31EBF"/>
    <w:rsid w:val="00DB0585"/>
    <w:rsid w:val="00E1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9F516-DFA7-44BF-8A96-CEB9D92A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17A9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17A9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17A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21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121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FA6E94ABDE544E5ADD4418054775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1C903-F46E-4AA1-AC09-2E650B931A35}"/>
      </w:docPartPr>
      <w:docPartBody>
        <w:p w:rsidR="007F040E" w:rsidRDefault="005B650A" w:rsidP="005B650A">
          <w:pPr>
            <w:pStyle w:val="5FA6E94ABDE544E5ADD441805477547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D690D5AA7DC4D298F5EEBBA087A0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5344D-50D8-457A-B25C-DDE1770A7C59}"/>
      </w:docPartPr>
      <w:docPartBody>
        <w:p w:rsidR="007F040E" w:rsidRDefault="005B650A" w:rsidP="005B650A">
          <w:pPr>
            <w:pStyle w:val="ED690D5AA7DC4D298F5EEBBA087A007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50A"/>
    <w:rsid w:val="00277E53"/>
    <w:rsid w:val="00325E91"/>
    <w:rsid w:val="005B650A"/>
    <w:rsid w:val="0070510F"/>
    <w:rsid w:val="007F040E"/>
    <w:rsid w:val="009C5592"/>
    <w:rsid w:val="00A00095"/>
    <w:rsid w:val="00D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A6E94ABDE544E5ADD4418054775477">
    <w:name w:val="5FA6E94ABDE544E5ADD4418054775477"/>
    <w:rsid w:val="005B650A"/>
  </w:style>
  <w:style w:type="paragraph" w:customStyle="1" w:styleId="ED690D5AA7DC4D298F5EEBBA087A007B">
    <w:name w:val="ED690D5AA7DC4D298F5EEBBA087A007B"/>
    <w:rsid w:val="005B65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January 21, 206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91DCF0-023F-4A5E-93DC-16856C9A7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 Summary</vt:lpstr>
    </vt:vector>
  </TitlesOfParts>
  <Company>Solomon bibinu</Company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subject>Marketing Mix Modeling</dc:subject>
  <dc:creator>SOLOMON</dc:creator>
  <cp:keywords/>
  <dc:description/>
  <cp:lastModifiedBy>SOLOMON</cp:lastModifiedBy>
  <cp:revision>13</cp:revision>
  <cp:lastPrinted>2026-01-22T11:51:00Z</cp:lastPrinted>
  <dcterms:created xsi:type="dcterms:W3CDTF">2026-01-21T10:39:00Z</dcterms:created>
  <dcterms:modified xsi:type="dcterms:W3CDTF">2026-03-16T18:48:00Z</dcterms:modified>
</cp:coreProperties>
</file>