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By: SOLOMON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By: SOLOMON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</w:t>
      </w:r>
      <w:r w:rsidRPr="00CC05E8">
        <w:rPr>
          <w:b/>
          <w:bCs/>
          <w:sz w:val="40"/>
          <w:szCs w:val="40"/>
        </w:rPr>
        <w:t xml:space="preserve">decision </w:t>
      </w:r>
      <w:r w:rsidR="006B4665">
        <w:rPr>
          <w:b/>
          <w:bCs/>
          <w:sz w:val="40"/>
          <w:szCs w:val="40"/>
        </w:rPr>
        <w:t xml:space="preserve">making </w:t>
      </w:r>
      <w:r w:rsidRPr="00CC05E8">
        <w:rPr>
          <w:b/>
          <w:bCs/>
          <w:sz w:val="40"/>
          <w:szCs w:val="40"/>
        </w:rPr>
        <w:t>support</w:t>
      </w:r>
      <w:r w:rsidRPr="00CC05E8">
        <w:rPr>
          <w:sz w:val="40"/>
          <w:szCs w:val="40"/>
        </w:rPr>
        <w:t>: enabling retention teams to proactively engage a subset of high-risk customers with targeted interventions. Consequently, model in</w:t>
      </w:r>
      <w:r w:rsidR="006B4665">
        <w:rPr>
          <w:sz w:val="40"/>
          <w:szCs w:val="40"/>
        </w:rPr>
        <w:t>terpretability and stability were</w:t>
      </w:r>
      <w:r w:rsidRPr="00CC05E8">
        <w:rPr>
          <w:sz w:val="40"/>
          <w:szCs w:val="40"/>
        </w:rPr>
        <w:t xml:space="preserve">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6B4665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r w:rsidR="006B4665">
        <w:rPr>
          <w:sz w:val="40"/>
          <w:szCs w:val="40"/>
        </w:rPr>
        <w:t>Boolean</w:t>
      </w:r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noProof/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noProof/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r w:rsidR="006B4665" w:rsidRPr="00AF7FFE">
        <w:rPr>
          <w:sz w:val="40"/>
          <w:szCs w:val="40"/>
        </w:rPr>
        <w:t>Internet Service</w:t>
      </w:r>
      <w:r w:rsidR="003324FA" w:rsidRPr="00AF7FFE">
        <w:rPr>
          <w:sz w:val="40"/>
          <w:szCs w:val="40"/>
        </w:rPr>
        <w:t xml:space="preserve"> type, Tech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Support, Online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Security),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(e.g.</w:t>
      </w:r>
      <w:r w:rsidR="006B4665">
        <w:rPr>
          <w:b/>
          <w:sz w:val="40"/>
          <w:szCs w:val="40"/>
        </w:rPr>
        <w:t xml:space="preserve"> </w:t>
      </w:r>
      <w:r w:rsidRPr="00AF7FFE">
        <w:rPr>
          <w:sz w:val="40"/>
          <w:szCs w:val="40"/>
        </w:rPr>
        <w:t>Contract</w:t>
      </w:r>
      <w:r w:rsidR="003324FA" w:rsidRPr="00AF7FFE">
        <w:rPr>
          <w:sz w:val="40"/>
          <w:szCs w:val="40"/>
        </w:rPr>
        <w:t xml:space="preserve"> 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r w:rsidR="006B4665" w:rsidRPr="006B4665">
        <w:rPr>
          <w:b/>
          <w:sz w:val="40"/>
          <w:szCs w:val="40"/>
        </w:rPr>
        <w:t>Customer ID</w:t>
      </w:r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r w:rsidR="006B4665" w:rsidRPr="006B4665">
        <w:rPr>
          <w:b/>
          <w:sz w:val="40"/>
          <w:szCs w:val="40"/>
        </w:rPr>
        <w:t>Stickiness Score</w:t>
      </w:r>
      <w:r w:rsidRPr="00AF7FFE">
        <w:rPr>
          <w:sz w:val="40"/>
          <w:szCs w:val="40"/>
        </w:rPr>
        <w:t xml:space="preserve"> and </w:t>
      </w:r>
      <w:r w:rsidRPr="006B4665">
        <w:rPr>
          <w:b/>
          <w:sz w:val="40"/>
          <w:szCs w:val="40"/>
        </w:rPr>
        <w:t>Charges_by_Tenure</w:t>
      </w:r>
      <w:r w:rsidRPr="00AF7FFE">
        <w:rPr>
          <w:sz w:val="40"/>
          <w:szCs w:val="40"/>
        </w:rPr>
        <w:t>, demonstrating a deliberate and disciplined feature selection process.</w:t>
      </w:r>
    </w:p>
    <w:p w:rsidR="006B4665" w:rsidRDefault="00AF7FFE" w:rsidP="00CC05E8">
      <w:pPr>
        <w:rPr>
          <w:sz w:val="40"/>
          <w:szCs w:val="40"/>
        </w:rPr>
        <w:sectPr w:rsidR="006B4665" w:rsidSect="00CC05E8">
          <w:headerReference w:type="default" r:id="rId12"/>
          <w:headerReference w:type="first" r:id="rId13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b/>
          <w:sz w:val="50"/>
          <w:szCs w:val="50"/>
        </w:rPr>
      </w:pPr>
      <w:r w:rsidRPr="006B4665">
        <w:rPr>
          <w:b/>
          <w:sz w:val="50"/>
          <w:szCs w:val="50"/>
        </w:rPr>
        <w:t xml:space="preserve">3.1 Methodology: </w:t>
      </w:r>
    </w:p>
    <w:p w:rsidR="006B4665" w:rsidRDefault="006B4665" w:rsidP="00CC05E8">
      <w:pPr>
        <w:rPr>
          <w:sz w:val="40"/>
          <w:szCs w:val="40"/>
        </w:rPr>
      </w:pPr>
      <w:r>
        <w:rPr>
          <w:b/>
          <w:sz w:val="50"/>
          <w:szCs w:val="50"/>
        </w:rPr>
        <w:tab/>
      </w:r>
      <w:r>
        <w:rPr>
          <w:sz w:val="40"/>
          <w:szCs w:val="40"/>
        </w:rPr>
        <w:t xml:space="preserve">To gain a clear understanding of the data and guide </w:t>
      </w:r>
      <w:r w:rsidR="00AF63EF">
        <w:rPr>
          <w:sz w:val="40"/>
          <w:szCs w:val="40"/>
        </w:rPr>
        <w:t xml:space="preserve">feature engineering, a structured EDA approach was employed: </w:t>
      </w: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AF63EF">
        <w:rPr>
          <w:b/>
          <w:i/>
          <w:sz w:val="40"/>
          <w:szCs w:val="40"/>
        </w:rPr>
        <w:t>Univariate</w:t>
      </w:r>
      <w:proofErr w:type="spellEnd"/>
      <w:r w:rsidRPr="00AF63EF">
        <w:rPr>
          <w:b/>
          <w:i/>
          <w:sz w:val="40"/>
          <w:szCs w:val="40"/>
        </w:rPr>
        <w:t xml:space="preserve">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Default="00600F51" w:rsidP="00AF63EF">
      <w:pPr>
        <w:pStyle w:val="ListParagraph"/>
        <w:rPr>
          <w:sz w:val="40"/>
          <w:szCs w:val="40"/>
        </w:rPr>
      </w:pPr>
      <w:r w:rsidRPr="00AF63EF">
        <w:rPr>
          <w:b/>
          <w:i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5AEF7D73" wp14:editId="30AC8D9A">
            <wp:simplePos x="0" y="0"/>
            <wp:positionH relativeFrom="margin">
              <wp:posOffset>19050</wp:posOffset>
            </wp:positionH>
            <wp:positionV relativeFrom="page">
              <wp:posOffset>4765040</wp:posOffset>
            </wp:positionV>
            <wp:extent cx="6858000" cy="224917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63EF">
        <w:rPr>
          <w:sz w:val="40"/>
          <w:szCs w:val="40"/>
        </w:rPr>
        <w:t>Examined the distribution of each feature individual</w:t>
      </w:r>
      <w:r w:rsidR="00795BDE">
        <w:rPr>
          <w:sz w:val="40"/>
          <w:szCs w:val="40"/>
        </w:rPr>
        <w:t>ly to detect anomalies, skew</w:t>
      </w:r>
      <w:r w:rsidR="00AF63EF">
        <w:rPr>
          <w:sz w:val="40"/>
          <w:szCs w:val="40"/>
        </w:rPr>
        <w:t xml:space="preserve"> and missing values. For categorical features, frequency counts and proportions were analyzed. For continuous features, histograms, boxplots and descriptive statistics were used </w:t>
      </w:r>
    </w:p>
    <w:p w:rsidR="00AF63EF" w:rsidRDefault="00AF63EF" w:rsidP="00AF63EF">
      <w:pPr>
        <w:pStyle w:val="ListParagraph"/>
        <w:rPr>
          <w:b/>
        </w:rPr>
      </w:pPr>
      <w:r>
        <w:rPr>
          <w:b/>
        </w:rPr>
        <w:t>Tenure plots, this is a regular distribution type for this type of data</w:t>
      </w:r>
    </w:p>
    <w:p w:rsidR="00AF63EF" w:rsidRPr="00AF63EF" w:rsidRDefault="00AF63EF" w:rsidP="00AF63EF">
      <w:pPr>
        <w:pStyle w:val="ListParagraph"/>
        <w:rPr>
          <w:b/>
        </w:rPr>
      </w:pP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Bivariate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P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Explored relationships between each feature and the target variable, Churn. For categorical features, churn rates were compared across groups. While continuous features were visualized against churn to identify trends </w:t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lastRenderedPageBreak/>
        <w:drawing>
          <wp:anchor distT="0" distB="0" distL="114300" distR="114300" simplePos="0" relativeHeight="251661312" behindDoc="1" locked="0" layoutInCell="1" allowOverlap="1" wp14:anchorId="0D74F754" wp14:editId="5B410A3C">
            <wp:simplePos x="0" y="0"/>
            <wp:positionH relativeFrom="margin">
              <wp:align>center</wp:align>
            </wp:positionH>
            <wp:positionV relativeFrom="page">
              <wp:posOffset>1250016</wp:posOffset>
            </wp:positionV>
            <wp:extent cx="5400675" cy="4333875"/>
            <wp:effectExtent l="0" t="0" r="9525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3C709143" wp14:editId="45819227">
            <wp:simplePos x="0" y="0"/>
            <wp:positionH relativeFrom="margin">
              <wp:align>center</wp:align>
            </wp:positionH>
            <wp:positionV relativeFrom="paragraph">
              <wp:posOffset>388172</wp:posOffset>
            </wp:positionV>
            <wp:extent cx="5109882" cy="3188673"/>
            <wp:effectExtent l="0" t="0" r="0" b="0"/>
            <wp:wrapTight wrapText="bothSides">
              <wp:wrapPolygon edited="0">
                <wp:start x="0" y="0"/>
                <wp:lineTo x="0" y="21424"/>
                <wp:lineTo x="21501" y="21424"/>
                <wp:lineTo x="2150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82" cy="318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4665" w:rsidRDefault="006B4665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Pr="00795BDE" w:rsidRDefault="00AF63EF" w:rsidP="00AF63EF">
      <w:pPr>
        <w:pStyle w:val="ListParagraph"/>
        <w:numPr>
          <w:ilvl w:val="0"/>
          <w:numId w:val="1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Multivariate Analysis:</w:t>
      </w:r>
    </w:p>
    <w:p w:rsidR="00795BDE" w:rsidRDefault="00AF63EF" w:rsidP="00795BD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Investigated interactions between multiple features and their combined effect on churn. </w:t>
      </w:r>
      <w:r w:rsidR="00795BDE">
        <w:rPr>
          <w:sz w:val="40"/>
          <w:szCs w:val="40"/>
        </w:rPr>
        <w:t>The analysis was structured around key business questions</w:t>
      </w:r>
      <w:r>
        <w:rPr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rPr>
          <w:sz w:val="40"/>
          <w:szCs w:val="40"/>
        </w:rPr>
      </w:pPr>
    </w:p>
    <w:p w:rsidR="00795BDE" w:rsidRDefault="00795BDE" w:rsidP="00AF63EF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Payment method vs. churn</w:t>
      </w:r>
      <w:r>
        <w:rPr>
          <w:i/>
          <w:sz w:val="40"/>
          <w:szCs w:val="40"/>
        </w:rPr>
        <w:t xml:space="preserve">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Examined which customer segments primarily use e-checks and whether this correlates with higher churn rates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Customer Stickiness: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Identified the types of users exhibiting higher engagement or loyalty (“stickiness”) and explored factors contributing to this behavior.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High Spender Churn: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Analyzed why approximately 70% of high-ARPU customers leave within a year, seeking patterns in service usage, contracts, and support features.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Contract Tenure vs. conversion: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Investigated why customers on month-to-month contracts for several years do not convert to longer-term contracts, identifying potential barriers to retention.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Service Type Concerns: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 xml:space="preserve">Assessed whether specific service types, such as fiber optic internet, inherently contribute to elevated churn risk.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  <w:r>
        <w:rPr>
          <w:sz w:val="36"/>
          <w:szCs w:val="36"/>
        </w:rPr>
        <w:lastRenderedPageBreak/>
        <w:t>This structured approach allowed for targeted insights that directly informed feature engineering and model design.</w:t>
      </w: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</w:p>
    <w:p w:rsidR="00EC12B1" w:rsidRDefault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br w:type="page"/>
      </w:r>
    </w:p>
    <w:p w:rsidR="00EC12B1" w:rsidRDefault="00EC12B1" w:rsidP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lastRenderedPageBreak/>
        <w:t>3.2 Insights</w:t>
      </w:r>
      <w:r w:rsidRPr="006B4665">
        <w:rPr>
          <w:b/>
          <w:sz w:val="50"/>
          <w:szCs w:val="50"/>
        </w:rPr>
        <w:t xml:space="preserve">: </w:t>
      </w:r>
    </w:p>
    <w:p w:rsidR="00EC12B1" w:rsidRDefault="00EC12B1" w:rsidP="00EC12B1">
      <w:pPr>
        <w:rPr>
          <w:sz w:val="36"/>
          <w:szCs w:val="36"/>
        </w:rPr>
      </w:pPr>
      <w:r w:rsidRPr="00EC12B1">
        <w:rPr>
          <w:sz w:val="36"/>
          <w:szCs w:val="36"/>
        </w:rPr>
        <w:t>Following the multivariate analysis framework, the following critical patterns were identified:</w:t>
      </w:r>
    </w:p>
    <w:p w:rsidR="00EC12B1" w:rsidRDefault="00EC12B1" w:rsidP="00EC12B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 w:rsidRPr="00EC12B1">
        <w:rPr>
          <w:b/>
          <w:sz w:val="36"/>
          <w:szCs w:val="36"/>
        </w:rPr>
        <w:t xml:space="preserve">Insight 1: The “E-Check” proxy effect: </w:t>
      </w:r>
    </w:p>
    <w:p w:rsidR="00D3193A" w:rsidRDefault="00D3193A" w:rsidP="00D3193A">
      <w:pPr>
        <w:pStyle w:val="ListParagraph"/>
        <w:rPr>
          <w:b/>
          <w:sz w:val="36"/>
          <w:szCs w:val="36"/>
        </w:rPr>
      </w:pPr>
    </w:p>
    <w:p w:rsidR="00EC12B1" w:rsidRPr="00E77A27" w:rsidRDefault="00EC12B1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EC12B1">
        <w:rPr>
          <w:b/>
          <w:bCs/>
          <w:sz w:val="36"/>
          <w:szCs w:val="36"/>
        </w:rPr>
        <w:t>Finding:</w:t>
      </w:r>
      <w:r w:rsidRPr="00EC12B1">
        <w:rPr>
          <w:sz w:val="36"/>
          <w:szCs w:val="36"/>
        </w:rPr>
        <w:t xml:space="preserve"> Electronic Check users exhibit a </w:t>
      </w:r>
      <w:r w:rsidRPr="00EC12B1">
        <w:rPr>
          <w:b/>
          <w:bCs/>
          <w:sz w:val="36"/>
          <w:szCs w:val="36"/>
        </w:rPr>
        <w:t>churn rate of ~45%</w:t>
      </w:r>
      <w:r w:rsidRPr="00EC12B1">
        <w:rPr>
          <w:sz w:val="36"/>
          <w:szCs w:val="36"/>
        </w:rPr>
        <w:t>, significantly higher than the average churn rate of ~15-18% for automatic payment meth</w:t>
      </w:r>
      <w:r w:rsidR="00121862">
        <w:rPr>
          <w:sz w:val="36"/>
          <w:szCs w:val="36"/>
        </w:rPr>
        <w:t>ods (Credit Card/Bank Transfer), and more than double the churn rate of Mailed Checks ~20%</w:t>
      </w:r>
      <w:r w:rsidR="00E77A27" w:rsidRPr="00E77A27">
        <w:rPr>
          <w:noProof/>
        </w:rPr>
        <w:t xml:space="preserve"> </w:t>
      </w:r>
      <w:r w:rsidR="00E77A27" w:rsidRPr="00E77A27">
        <w:rPr>
          <w:noProof/>
        </w:rPr>
        <w:drawing>
          <wp:inline distT="0" distB="0" distL="0" distR="0">
            <wp:extent cx="5105400" cy="37433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862" w:rsidRDefault="00121862" w:rsidP="00121862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Root-Cause Analysis:</w:t>
      </w:r>
      <w:r>
        <w:rPr>
          <w:sz w:val="36"/>
          <w:szCs w:val="36"/>
        </w:rPr>
        <w:t xml:space="preserve"> Multivariate analysis revealed that this was a proxy for inherently risky customers, not a payment method issue. </w:t>
      </w:r>
    </w:p>
    <w:p w:rsidR="00121862" w:rsidRDefault="00121862" w:rsidP="00D31031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~67%</w:t>
      </w:r>
      <w:r>
        <w:rPr>
          <w:sz w:val="36"/>
          <w:szCs w:val="36"/>
        </w:rPr>
        <w:t xml:space="preserve"> of E-Check users are subscribed to fiber-optic (our highest churning product)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lastRenderedPageBreak/>
        <w:drawing>
          <wp:inline distT="0" distB="0" distL="0" distR="0" wp14:anchorId="40E48E6F" wp14:editId="66BBCAE1">
            <wp:extent cx="2676899" cy="1695687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Subscription to fiber optic</w:t>
      </w:r>
    </w:p>
    <w:p w:rsidR="00D31031" w:rsidRPr="00D31031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~78%</w:t>
      </w:r>
      <w:r>
        <w:rPr>
          <w:sz w:val="36"/>
          <w:szCs w:val="36"/>
        </w:rPr>
        <w:t xml:space="preserve"> of E-Check users are on month to month contracts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7EEA4FD7" wp14:editId="44DBDEF7">
            <wp:extent cx="2857899" cy="16385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contracts</w:t>
      </w:r>
    </w:p>
    <w:p w:rsidR="00D31031" w:rsidRP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</w:t>
      </w:r>
      <w:r w:rsidR="00D31031">
        <w:rPr>
          <w:b/>
          <w:sz w:val="36"/>
          <w:szCs w:val="36"/>
        </w:rPr>
        <w:t>6</w:t>
      </w:r>
      <w:r w:rsidRPr="00121862">
        <w:rPr>
          <w:b/>
          <w:sz w:val="36"/>
          <w:szCs w:val="36"/>
        </w:rPr>
        <w:t>%</w:t>
      </w:r>
      <w:r>
        <w:rPr>
          <w:sz w:val="36"/>
          <w:szCs w:val="36"/>
        </w:rPr>
        <w:t xml:space="preserve"> of E-Check users also exhibit low stickiness (defined as &lt;= 1 sticky service)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459A1E43" wp14:editId="3870821F">
            <wp:extent cx="3181794" cy="1686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Crosstab showing the distributions of payment methods and Stickiness. </w:t>
      </w:r>
    </w:p>
    <w:p w:rsidR="00D31031" w:rsidRPr="00121862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Pr="00121862" w:rsidRDefault="00121862" w:rsidP="00121862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 w:rsidRPr="00121862">
        <w:rPr>
          <w:b/>
          <w:sz w:val="36"/>
          <w:szCs w:val="36"/>
        </w:rPr>
        <w:t xml:space="preserve">Business Implication: </w:t>
      </w:r>
      <w:r>
        <w:rPr>
          <w:sz w:val="36"/>
          <w:szCs w:val="36"/>
        </w:rPr>
        <w:t xml:space="preserve">Simply changing payment options will yield limited ROI. Retention efforts must focus on migrating </w:t>
      </w:r>
      <w:r>
        <w:rPr>
          <w:sz w:val="36"/>
          <w:szCs w:val="36"/>
        </w:rPr>
        <w:lastRenderedPageBreak/>
        <w:t>these users to longer-term contracts or bundling them with sticky services</w:t>
      </w:r>
    </w:p>
    <w:p w:rsidR="00121862" w:rsidRPr="00121862" w:rsidRDefault="00121862" w:rsidP="00121862">
      <w:pPr>
        <w:pStyle w:val="ListParagraph"/>
        <w:rPr>
          <w:sz w:val="36"/>
          <w:szCs w:val="36"/>
        </w:rPr>
      </w:pPr>
    </w:p>
    <w:p w:rsidR="00F477C1" w:rsidRDefault="00F477C1" w:rsidP="00F477C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Insight 2</w:t>
      </w:r>
      <w:r w:rsidRPr="00EC12B1">
        <w:rPr>
          <w:b/>
          <w:sz w:val="36"/>
          <w:szCs w:val="36"/>
        </w:rPr>
        <w:t xml:space="preserve">: The </w:t>
      </w:r>
      <w:r w:rsidR="00976FBA">
        <w:rPr>
          <w:b/>
          <w:sz w:val="36"/>
          <w:szCs w:val="36"/>
        </w:rPr>
        <w:t>“Stickiness” Ecosystem and the Retention Wall</w:t>
      </w:r>
      <w:r w:rsidRPr="00EC12B1">
        <w:rPr>
          <w:b/>
          <w:sz w:val="36"/>
          <w:szCs w:val="36"/>
        </w:rPr>
        <w:t xml:space="preserve">: </w:t>
      </w:r>
    </w:p>
    <w:p w:rsidR="00F477C1" w:rsidRPr="005872F3" w:rsidRDefault="00976FBA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“Stickiness” (adoption of ancillary services) is not evenly distributed </w:t>
      </w: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Demographic Driver: </w:t>
      </w:r>
      <w:r>
        <w:rPr>
          <w:sz w:val="36"/>
          <w:szCs w:val="36"/>
        </w:rPr>
        <w:t xml:space="preserve">Users with partners have a 50% higher stickiness score (mean of 1.53) than single users (mean of 1.01) 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38BBEC3" wp14:editId="19AD0FD7">
            <wp:extent cx="3362794" cy="10097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stickiness and partner status</w:t>
      </w:r>
    </w:p>
    <w:p w:rsidR="00D31031" w:rsidRPr="00976FBA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“Retention Wall”: </w:t>
      </w:r>
      <w:r>
        <w:rPr>
          <w:sz w:val="36"/>
          <w:szCs w:val="36"/>
        </w:rPr>
        <w:t xml:space="preserve">Stickiness does not grow linearly. It remains sluggish (0.55) -&gt; (0.94) for the first 24 months and then </w:t>
      </w:r>
      <w:r w:rsidRPr="00976FBA">
        <w:rPr>
          <w:b/>
          <w:sz w:val="36"/>
          <w:szCs w:val="36"/>
        </w:rPr>
        <w:t>nearly doubles</w:t>
      </w:r>
      <w:r>
        <w:rPr>
          <w:sz w:val="36"/>
          <w:szCs w:val="36"/>
        </w:rPr>
        <w:t xml:space="preserve"> (to 1.76) after the 2-year mark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BDE29D1" wp14:editId="1FC91DEE">
            <wp:extent cx="4153480" cy="132416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 of stickiness and tenure</w:t>
      </w:r>
    </w:p>
    <w:p w:rsidR="00D31031" w:rsidRPr="005872F3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“Protection Gap”: </w:t>
      </w:r>
      <w:r>
        <w:rPr>
          <w:sz w:val="36"/>
          <w:szCs w:val="36"/>
        </w:rPr>
        <w:t>There is a critical misalignment in our product tiers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DSL users (Lower ARPU): </w:t>
      </w:r>
      <w:r>
        <w:rPr>
          <w:sz w:val="36"/>
          <w:szCs w:val="36"/>
        </w:rPr>
        <w:t xml:space="preserve">Highly embedded with “Retention Anchors” (Tech support/security)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Fiber users (Highest ARPU): </w:t>
      </w:r>
      <w:r w:rsidRPr="005872F3">
        <w:rPr>
          <w:b/>
          <w:sz w:val="36"/>
          <w:szCs w:val="36"/>
        </w:rPr>
        <w:t>~56%</w:t>
      </w:r>
      <w:r w:rsidRPr="005872F3">
        <w:rPr>
          <w:sz w:val="36"/>
          <w:szCs w:val="36"/>
        </w:rPr>
        <w:t xml:space="preserve"> have Streaming (Entertainment), but only </w:t>
      </w:r>
      <w:r w:rsidRPr="005872F3">
        <w:rPr>
          <w:b/>
          <w:bCs/>
          <w:sz w:val="36"/>
          <w:szCs w:val="36"/>
        </w:rPr>
        <w:t>~27%</w:t>
      </w:r>
      <w:r w:rsidRPr="005872F3">
        <w:rPr>
          <w:sz w:val="36"/>
          <w:szCs w:val="36"/>
        </w:rPr>
        <w:t xml:space="preserve"> have Online Security. We are selling our most expensive product with the weakest "lock-in" features.</w:t>
      </w:r>
    </w:p>
    <w:p w:rsid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bCs/>
          <w:sz w:val="36"/>
          <w:szCs w:val="36"/>
        </w:rPr>
        <w:t>Immediate Action:</w:t>
      </w:r>
      <w:r w:rsidRPr="005872F3">
        <w:rPr>
          <w:b/>
          <w:sz w:val="36"/>
          <w:szCs w:val="36"/>
        </w:rPr>
        <w:t xml:space="preserve"> </w:t>
      </w:r>
      <w:r w:rsidRPr="005872F3">
        <w:rPr>
          <w:sz w:val="36"/>
          <w:szCs w:val="36"/>
        </w:rPr>
        <w:t xml:space="preserve">Launch a </w:t>
      </w:r>
      <w:r w:rsidRPr="005872F3">
        <w:rPr>
          <w:b/>
          <w:bCs/>
          <w:sz w:val="36"/>
          <w:szCs w:val="36"/>
        </w:rPr>
        <w:t>"Year 2 Anniversary"</w:t>
      </w:r>
      <w:r w:rsidRPr="005872F3">
        <w:rPr>
          <w:bCs/>
          <w:sz w:val="36"/>
          <w:szCs w:val="36"/>
        </w:rPr>
        <w:t xml:space="preserve"> campaign</w:t>
      </w:r>
      <w:r w:rsidRPr="005872F3">
        <w:rPr>
          <w:sz w:val="36"/>
          <w:szCs w:val="36"/>
        </w:rPr>
        <w:t xml:space="preserve"> to pull stickiness forward into the 12-18 month window, rather than waiting for organic adoption</w:t>
      </w:r>
      <w:r w:rsidRPr="005872F3">
        <w:rPr>
          <w:b/>
          <w:sz w:val="36"/>
          <w:szCs w:val="36"/>
        </w:rPr>
        <w:t>.</w:t>
      </w:r>
    </w:p>
    <w:p w:rsidR="00976FBA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sz w:val="36"/>
          <w:szCs w:val="36"/>
        </w:rPr>
        <w:t xml:space="preserve">Strategic Shift: </w:t>
      </w:r>
      <w:r w:rsidRPr="005872F3">
        <w:rPr>
          <w:sz w:val="36"/>
          <w:szCs w:val="36"/>
        </w:rPr>
        <w:t>Stop selling Fiber as just "Fast Internet." Sell it as "Secure Internet" by defaulting new Fiber sign-ups into a "Security First" bundle (Tech Support + Online Security) for the first 3 months to reduce early-life churn.</w:t>
      </w:r>
    </w:p>
    <w:p w:rsidR="005872F3" w:rsidRPr="005872F3" w:rsidRDefault="005872F3" w:rsidP="005872F3">
      <w:pPr>
        <w:pStyle w:val="ListParagraph"/>
        <w:ind w:left="2160"/>
        <w:rPr>
          <w:b/>
          <w:sz w:val="36"/>
          <w:szCs w:val="36"/>
        </w:rPr>
      </w:pPr>
    </w:p>
    <w:p w:rsidR="00C446BB" w:rsidRDefault="005872F3" w:rsidP="00C446B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3: The Month to Month paradox (High value, High risk)</w:t>
      </w:r>
    </w:p>
    <w:p w:rsidR="00C446BB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Finding: Month-to-Month</w:t>
      </w:r>
      <w:r>
        <w:rPr>
          <w:sz w:val="36"/>
          <w:szCs w:val="36"/>
        </w:rPr>
        <w:t xml:space="preserve"> users have the highest average revenue per user </w:t>
      </w:r>
      <w:r>
        <w:rPr>
          <w:b/>
          <w:sz w:val="36"/>
          <w:szCs w:val="36"/>
        </w:rPr>
        <w:t>(ARPU)</w:t>
      </w:r>
      <w:r>
        <w:rPr>
          <w:sz w:val="36"/>
          <w:szCs w:val="36"/>
        </w:rPr>
        <w:t xml:space="preserve"> ($66 </w:t>
      </w:r>
      <w:r w:rsidR="00222A67">
        <w:rPr>
          <w:sz w:val="36"/>
          <w:szCs w:val="36"/>
        </w:rPr>
        <w:t>vs.</w:t>
      </w:r>
      <w:r>
        <w:rPr>
          <w:sz w:val="36"/>
          <w:szCs w:val="36"/>
        </w:rPr>
        <w:t xml:space="preserve"> $60 for 2-year-contracts). However, this segment is structurally unstable due to two distinct failure modes. </w:t>
      </w:r>
    </w:p>
    <w:p w:rsidR="00C446BB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Failure Mode A: The Month 1 “cliff” (Early Failure)</w:t>
      </w:r>
    </w:p>
    <w:p w:rsidR="00C446BB" w:rsidRDefault="00C446BB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 w:rsidRPr="00222A67">
        <w:rPr>
          <w:b/>
          <w:sz w:val="36"/>
          <w:szCs w:val="36"/>
        </w:rPr>
        <w:t>~60%</w:t>
      </w:r>
      <w:r>
        <w:rPr>
          <w:sz w:val="36"/>
          <w:szCs w:val="36"/>
        </w:rPr>
        <w:t xml:space="preserve"> of M2M users churn in the very first month with </w:t>
      </w:r>
      <w:r w:rsidR="00222A67">
        <w:rPr>
          <w:sz w:val="36"/>
          <w:szCs w:val="36"/>
        </w:rPr>
        <w:t xml:space="preserve">a further decline of </w:t>
      </w:r>
      <w:r w:rsidR="00222A67" w:rsidRPr="00222A67">
        <w:rPr>
          <w:b/>
          <w:sz w:val="36"/>
          <w:szCs w:val="36"/>
        </w:rPr>
        <w:t>~</w:t>
      </w:r>
      <w:r w:rsidRPr="00222A67">
        <w:rPr>
          <w:b/>
          <w:sz w:val="36"/>
          <w:szCs w:val="36"/>
        </w:rPr>
        <w:t>50%</w:t>
      </w:r>
      <w:r>
        <w:rPr>
          <w:sz w:val="36"/>
          <w:szCs w:val="36"/>
        </w:rPr>
        <w:t xml:space="preserve">, the next month however from here onwards, where users are </w:t>
      </w:r>
      <w:r w:rsidR="00222A67">
        <w:rPr>
          <w:sz w:val="36"/>
          <w:szCs w:val="36"/>
        </w:rPr>
        <w:t xml:space="preserve">statistically </w:t>
      </w:r>
      <w:r>
        <w:rPr>
          <w:sz w:val="36"/>
          <w:szCs w:val="36"/>
        </w:rPr>
        <w:t xml:space="preserve">less likely to churn than to churn. However, at this point a </w:t>
      </w:r>
      <w:r w:rsidRPr="00222A67">
        <w:rPr>
          <w:b/>
          <w:sz w:val="36"/>
          <w:szCs w:val="36"/>
        </w:rPr>
        <w:t>vast number of the cohort is gone already (</w:t>
      </w:r>
      <w:r w:rsidR="00222A67" w:rsidRPr="00222A67">
        <w:rPr>
          <w:b/>
          <w:sz w:val="36"/>
          <w:szCs w:val="36"/>
        </w:rPr>
        <w:t>from 100% down to 30%)</w:t>
      </w:r>
      <w:r w:rsidR="00222A67">
        <w:rPr>
          <w:sz w:val="36"/>
          <w:szCs w:val="36"/>
        </w:rPr>
        <w:t xml:space="preserve"> with a churn rate of </w:t>
      </w:r>
      <w:r w:rsidR="00222A67" w:rsidRPr="00222A67">
        <w:rPr>
          <w:b/>
          <w:sz w:val="36"/>
          <w:szCs w:val="36"/>
        </w:rPr>
        <w:t>~45%</w:t>
      </w:r>
      <w:r w:rsidR="00222A67">
        <w:rPr>
          <w:sz w:val="36"/>
          <w:szCs w:val="36"/>
        </w:rPr>
        <w:t xml:space="preserve"> until month 6</w:t>
      </w:r>
    </w:p>
    <w:p w:rsidR="00222A67" w:rsidRDefault="00222A67" w:rsidP="00222A67">
      <w:pPr>
        <w:pStyle w:val="ListParagraph"/>
        <w:ind w:left="2880"/>
        <w:rPr>
          <w:sz w:val="36"/>
          <w:szCs w:val="36"/>
        </w:rPr>
      </w:pPr>
      <w:r w:rsidRPr="00222A67">
        <w:rPr>
          <w:noProof/>
          <w:sz w:val="36"/>
          <w:szCs w:val="36"/>
        </w:rPr>
        <w:lastRenderedPageBreak/>
        <w:drawing>
          <wp:inline distT="0" distB="0" distL="0" distR="0" wp14:anchorId="273F6361" wp14:editId="12FAF354">
            <wp:extent cx="5105400" cy="3743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67" w:rsidRDefault="00222A67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Root Cause: </w:t>
      </w:r>
      <w:r>
        <w:rPr>
          <w:sz w:val="36"/>
          <w:szCs w:val="36"/>
        </w:rPr>
        <w:t xml:space="preserve">This immediate exit suggests an onboarding failure (expectations mismatch or technical issues) rather than price sensitivity. </w:t>
      </w:r>
    </w:p>
    <w:p w:rsidR="00222A67" w:rsidRPr="00C446BB" w:rsidRDefault="00222A67" w:rsidP="00222A67">
      <w:pPr>
        <w:pStyle w:val="ListParagraph"/>
        <w:ind w:left="2880"/>
        <w:rPr>
          <w:sz w:val="36"/>
          <w:szCs w:val="36"/>
        </w:rPr>
      </w:pPr>
    </w:p>
    <w:p w:rsidR="00C446BB" w:rsidRPr="00222A67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Failure Mode B: The “Vulnerable Veteran” (Late Failure) </w:t>
      </w:r>
    </w:p>
    <w:p w:rsidR="00222A67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sub-segment of users with &gt;24 months tenure remain on M2M contracts. They pay a premium </w:t>
      </w:r>
      <w:r w:rsidRPr="00222A67">
        <w:rPr>
          <w:b/>
          <w:sz w:val="36"/>
          <w:szCs w:val="36"/>
        </w:rPr>
        <w:t>(~$79 ARPU) monthly</w:t>
      </w:r>
      <w:r>
        <w:rPr>
          <w:sz w:val="36"/>
          <w:szCs w:val="36"/>
        </w:rPr>
        <w:t xml:space="preserve">, yet </w:t>
      </w:r>
      <w:r w:rsidRPr="00222A67">
        <w:rPr>
          <w:b/>
          <w:sz w:val="36"/>
          <w:szCs w:val="36"/>
        </w:rPr>
        <w:t>91%</w:t>
      </w:r>
      <w:r>
        <w:rPr>
          <w:sz w:val="36"/>
          <w:szCs w:val="36"/>
        </w:rPr>
        <w:t xml:space="preserve"> of them are “unanchored” (missing tech support/online security).</w:t>
      </w:r>
    </w:p>
    <w:p w:rsidR="00034FF3" w:rsidRDefault="00034FF3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 w:rsidRPr="00034FF3">
        <w:rPr>
          <w:b/>
          <w:bCs/>
          <w:sz w:val="36"/>
          <w:szCs w:val="36"/>
        </w:rPr>
        <w:t>The Anchor Gap:</w:t>
      </w:r>
      <w:r w:rsidRPr="00034FF3">
        <w:rPr>
          <w:sz w:val="36"/>
          <w:szCs w:val="36"/>
        </w:rPr>
        <w:t xml:space="preserve"> While 79% of these users purchase </w:t>
      </w:r>
      <w:r w:rsidRPr="00034FF3">
        <w:rPr>
          <w:i/>
          <w:iCs/>
          <w:sz w:val="36"/>
          <w:szCs w:val="36"/>
        </w:rPr>
        <w:t>some</w:t>
      </w:r>
      <w:r w:rsidRPr="00034FF3">
        <w:rPr>
          <w:sz w:val="36"/>
          <w:szCs w:val="36"/>
        </w:rPr>
        <w:t xml:space="preserve"> add-ons (mostly Streaming/Entertainment), </w:t>
      </w:r>
      <w:r w:rsidRPr="00034FF3">
        <w:rPr>
          <w:b/>
          <w:bCs/>
          <w:sz w:val="36"/>
          <w:szCs w:val="36"/>
        </w:rPr>
        <w:t>91% are "Unanchored"</w:t>
      </w:r>
      <w:r w:rsidRPr="00034FF3">
        <w:rPr>
          <w:sz w:val="36"/>
          <w:szCs w:val="36"/>
        </w:rPr>
        <w:t xml:space="preserve"> (lacking Tech Support or Online Secur</w:t>
      </w:r>
      <w:r>
        <w:rPr>
          <w:sz w:val="36"/>
          <w:szCs w:val="36"/>
        </w:rPr>
        <w:t>ity)</w:t>
      </w:r>
    </w:p>
    <w:p w:rsidR="00222A67" w:rsidRPr="00C446BB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Risk:</w:t>
      </w:r>
      <w:r>
        <w:rPr>
          <w:sz w:val="36"/>
          <w:szCs w:val="36"/>
        </w:rPr>
        <w:t xml:space="preserve"> While these users are loyal, with them having – 0 stickiness score only 21% of the time, their churn </w:t>
      </w:r>
      <w:r w:rsidR="00034FF3" w:rsidRPr="00034FF3">
        <w:rPr>
          <w:b/>
          <w:sz w:val="36"/>
          <w:szCs w:val="36"/>
        </w:rPr>
        <w:lastRenderedPageBreak/>
        <w:t>(45%)</w:t>
      </w:r>
      <w:r w:rsidR="00034FF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risk remains </w:t>
      </w:r>
      <w:r w:rsidRPr="00222A67">
        <w:rPr>
          <w:b/>
          <w:sz w:val="36"/>
          <w:szCs w:val="36"/>
        </w:rPr>
        <w:t>2.5x higher</w:t>
      </w:r>
      <w:r>
        <w:rPr>
          <w:sz w:val="36"/>
          <w:szCs w:val="36"/>
        </w:rPr>
        <w:t xml:space="preserve"> than anchored users</w:t>
      </w:r>
      <w:r w:rsidR="00034FF3">
        <w:rPr>
          <w:sz w:val="36"/>
          <w:szCs w:val="36"/>
        </w:rPr>
        <w:t xml:space="preserve"> </w:t>
      </w:r>
      <w:r w:rsidR="00034FF3" w:rsidRPr="00034FF3">
        <w:rPr>
          <w:b/>
          <w:sz w:val="36"/>
          <w:szCs w:val="36"/>
        </w:rPr>
        <w:t>(18%)</w:t>
      </w:r>
      <w:r w:rsidRPr="00034FF3">
        <w:rPr>
          <w:b/>
          <w:sz w:val="36"/>
          <w:szCs w:val="36"/>
        </w:rPr>
        <w:t>,</w:t>
      </w:r>
      <w:r>
        <w:rPr>
          <w:sz w:val="36"/>
          <w:szCs w:val="36"/>
        </w:rPr>
        <w:t xml:space="preserve"> despite their loyalty </w:t>
      </w:r>
    </w:p>
    <w:p w:rsidR="00C446BB" w:rsidRPr="00034FF3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Fix the Onboarding: </w:t>
      </w:r>
      <w:r>
        <w:rPr>
          <w:sz w:val="36"/>
          <w:szCs w:val="36"/>
        </w:rPr>
        <w:t xml:space="preserve">Audit onboarding flows for possible leaks and shift retention resources to days 0-60 as this has proven to be our most volatile period of the customer journey. Mandatory “Setup support” calls for new M2M users may mitigate the month 1 cliff.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Anchor the Veterans:</w:t>
      </w:r>
      <w:r>
        <w:rPr>
          <w:sz w:val="36"/>
          <w:szCs w:val="36"/>
        </w:rPr>
        <w:t xml:space="preserve"> Do not force the vulnerable veterans into long </w:t>
      </w:r>
      <w:r w:rsidRPr="00034FF3">
        <w:rPr>
          <w:sz w:val="36"/>
          <w:szCs w:val="36"/>
        </w:rPr>
        <w:t xml:space="preserve">contracts (which adds friction). Instead, incentivize them to add </w:t>
      </w:r>
      <w:r w:rsidRPr="00034FF3">
        <w:rPr>
          <w:b/>
          <w:bCs/>
          <w:sz w:val="36"/>
          <w:szCs w:val="36"/>
        </w:rPr>
        <w:t>one anchor service</w:t>
      </w:r>
      <w:r w:rsidRPr="00034FF3">
        <w:rPr>
          <w:sz w:val="36"/>
          <w:szCs w:val="36"/>
        </w:rPr>
        <w:t xml:space="preserve"> (e.g., "Free Tech Support Upgrade") to lock them in via product utility.</w:t>
      </w:r>
    </w:p>
    <w:p w:rsidR="00E333E4" w:rsidRDefault="00E333E4" w:rsidP="00E333E4">
      <w:pPr>
        <w:pStyle w:val="ListParagraph"/>
        <w:ind w:left="2160"/>
        <w:rPr>
          <w:sz w:val="36"/>
          <w:szCs w:val="36"/>
        </w:rPr>
      </w:pPr>
    </w:p>
    <w:p w:rsidR="00E333E4" w:rsidRDefault="00E333E4" w:rsidP="00E333E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4:</w:t>
      </w:r>
      <w:r>
        <w:rPr>
          <w:sz w:val="36"/>
          <w:szCs w:val="36"/>
        </w:rPr>
        <w:t xml:space="preserve"> </w:t>
      </w:r>
      <w:r w:rsidR="00F71366">
        <w:rPr>
          <w:b/>
          <w:sz w:val="36"/>
          <w:szCs w:val="36"/>
        </w:rPr>
        <w:t>The “Unprotected” High spenders</w:t>
      </w:r>
    </w:p>
    <w:p w:rsid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 w:rsidRPr="00F71366">
        <w:rPr>
          <w:sz w:val="36"/>
          <w:szCs w:val="36"/>
        </w:rPr>
        <w:t>High-spending new customers (&gt;$75/</w:t>
      </w:r>
      <w:proofErr w:type="spellStart"/>
      <w:r w:rsidRPr="00F71366">
        <w:rPr>
          <w:sz w:val="36"/>
          <w:szCs w:val="36"/>
        </w:rPr>
        <w:t>mo</w:t>
      </w:r>
      <w:proofErr w:type="spellEnd"/>
      <w:r w:rsidRPr="00F71366">
        <w:rPr>
          <w:sz w:val="36"/>
          <w:szCs w:val="36"/>
        </w:rPr>
        <w:t xml:space="preserve">) represent a </w:t>
      </w:r>
      <w:r w:rsidRPr="00F71366">
        <w:rPr>
          <w:b/>
          <w:bCs/>
          <w:sz w:val="36"/>
          <w:szCs w:val="36"/>
        </w:rPr>
        <w:t>"High Value / High Risk"</w:t>
      </w:r>
      <w:r w:rsidRPr="00F71366">
        <w:rPr>
          <w:sz w:val="36"/>
          <w:szCs w:val="36"/>
        </w:rPr>
        <w:t xml:space="preserve"> paradox, churning at a rate of </w:t>
      </w:r>
      <w:r w:rsidRPr="00F71366">
        <w:rPr>
          <w:b/>
          <w:bCs/>
          <w:sz w:val="36"/>
          <w:szCs w:val="36"/>
        </w:rPr>
        <w:t>~70% within the first year</w:t>
      </w:r>
      <w:r w:rsidRPr="00F71366">
        <w:rPr>
          <w:sz w:val="36"/>
          <w:szCs w:val="36"/>
        </w:rPr>
        <w:t xml:space="preserve">.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Spend vs. Churn: </w:t>
      </w:r>
      <w:r>
        <w:rPr>
          <w:sz w:val="36"/>
          <w:szCs w:val="36"/>
        </w:rPr>
        <w:t xml:space="preserve">The high churn correlates linearly with increased spend, indicating this is not a budget issue (lack of funds) but a value realization issue (lack of perceived utility.) </w:t>
      </w:r>
    </w:p>
    <w:p w:rsidR="00F71366" w:rsidRP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The “Stickiness” void: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staggering </w:t>
      </w:r>
      <w:r w:rsidRPr="00F71366">
        <w:rPr>
          <w:b/>
          <w:sz w:val="36"/>
          <w:szCs w:val="36"/>
        </w:rPr>
        <w:t>82%</w:t>
      </w:r>
      <w:r>
        <w:rPr>
          <w:sz w:val="36"/>
          <w:szCs w:val="36"/>
        </w:rPr>
        <w:t xml:space="preserve"> of these high-value users fall into the “Low-Stickiness” zone </w:t>
      </w:r>
      <w:r w:rsidRPr="008F21A1">
        <w:rPr>
          <w:b/>
          <w:sz w:val="36"/>
          <w:szCs w:val="36"/>
        </w:rPr>
        <w:t>(~55% chance of churn)</w:t>
      </w:r>
      <w:r>
        <w:rPr>
          <w:sz w:val="36"/>
          <w:szCs w:val="36"/>
        </w:rPr>
        <w:t xml:space="preserve"> with 0-1 sticky services.</w:t>
      </w:r>
    </w:p>
    <w:p w:rsidR="008F21A1" w:rsidRDefault="008F21A1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 Multiplier:</w:t>
      </w:r>
      <w:r>
        <w:rPr>
          <w:sz w:val="36"/>
          <w:szCs w:val="36"/>
        </w:rPr>
        <w:t xml:space="preserve"> 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Users with </w:t>
      </w:r>
      <w:r>
        <w:rPr>
          <w:b/>
          <w:sz w:val="36"/>
          <w:szCs w:val="36"/>
        </w:rPr>
        <w:t xml:space="preserve">0 stickiness </w:t>
      </w:r>
      <w:r>
        <w:rPr>
          <w:sz w:val="36"/>
          <w:szCs w:val="36"/>
        </w:rPr>
        <w:t xml:space="preserve">churn at </w:t>
      </w:r>
      <w:r>
        <w:rPr>
          <w:b/>
          <w:sz w:val="36"/>
          <w:szCs w:val="36"/>
        </w:rPr>
        <w:t>65%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Adding just </w:t>
      </w:r>
      <w:r>
        <w:rPr>
          <w:b/>
          <w:sz w:val="36"/>
          <w:szCs w:val="36"/>
        </w:rPr>
        <w:t xml:space="preserve">one </w:t>
      </w:r>
      <w:r>
        <w:rPr>
          <w:sz w:val="36"/>
          <w:szCs w:val="36"/>
        </w:rPr>
        <w:t xml:space="preserve">service drops churn to </w:t>
      </w:r>
      <w:r>
        <w:rPr>
          <w:b/>
          <w:sz w:val="36"/>
          <w:szCs w:val="36"/>
        </w:rPr>
        <w:t>46%</w:t>
      </w:r>
    </w:p>
    <w:p w:rsidR="008F21A1" w:rsidRDefault="008F21A1" w:rsidP="008F21A1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Conclusion: </w:t>
      </w:r>
      <w:r>
        <w:rPr>
          <w:sz w:val="36"/>
          <w:szCs w:val="36"/>
        </w:rPr>
        <w:t>We are successful</w:t>
      </w:r>
      <w:r w:rsidR="000678A5">
        <w:rPr>
          <w:sz w:val="36"/>
          <w:szCs w:val="36"/>
        </w:rPr>
        <w:t xml:space="preserve">ly upselling them on price, but failing to cross-sell them on </w:t>
      </w:r>
      <w:r w:rsidR="000678A5">
        <w:rPr>
          <w:b/>
          <w:sz w:val="36"/>
          <w:szCs w:val="36"/>
        </w:rPr>
        <w:t xml:space="preserve">Retention Anchors. </w:t>
      </w:r>
      <w:r w:rsidR="000678A5">
        <w:rPr>
          <w:sz w:val="36"/>
          <w:szCs w:val="36"/>
        </w:rPr>
        <w:t xml:space="preserve">We have successfully captured their wallet, but not their loyalty </w:t>
      </w:r>
    </w:p>
    <w:p w:rsidR="00B71E28" w:rsidRDefault="00B71E28" w:rsidP="00B71E28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Service Spread Analysis (The Adoption Mismatch):</w:t>
      </w:r>
      <w:r>
        <w:rPr>
          <w:sz w:val="36"/>
          <w:szCs w:val="36"/>
        </w:rPr>
        <w:t xml:space="preserve"> </w:t>
      </w:r>
    </w:p>
    <w:p w:rsidR="00B71E28" w:rsidRDefault="00B71E28" w:rsidP="00B71E28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First year high spenders are spending money on the </w:t>
      </w:r>
      <w:r>
        <w:rPr>
          <w:b/>
          <w:i/>
          <w:sz w:val="36"/>
          <w:szCs w:val="36"/>
        </w:rPr>
        <w:t xml:space="preserve">wrong </w:t>
      </w:r>
      <w:r>
        <w:rPr>
          <w:sz w:val="36"/>
          <w:szCs w:val="36"/>
        </w:rPr>
        <w:t xml:space="preserve">ancillary services. There is a massive misalignment between what they </w:t>
      </w:r>
      <w:r>
        <w:rPr>
          <w:b/>
          <w:sz w:val="36"/>
          <w:szCs w:val="36"/>
        </w:rPr>
        <w:t xml:space="preserve">buy </w:t>
      </w:r>
      <w:r>
        <w:rPr>
          <w:sz w:val="36"/>
          <w:szCs w:val="36"/>
        </w:rPr>
        <w:t xml:space="preserve">and what actually </w:t>
      </w:r>
      <w:r>
        <w:rPr>
          <w:b/>
          <w:sz w:val="36"/>
          <w:szCs w:val="36"/>
        </w:rPr>
        <w:t xml:space="preserve">retains </w:t>
      </w:r>
      <w:r>
        <w:rPr>
          <w:sz w:val="36"/>
          <w:szCs w:val="36"/>
        </w:rPr>
        <w:t>them.</w:t>
      </w:r>
    </w:p>
    <w:p w:rsidR="00B71E28" w:rsidRPr="00B71E28" w:rsidRDefault="00B71E28" w:rsidP="00B71E28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The “Placebo” Products:</w:t>
      </w:r>
      <w:r>
        <w:rPr>
          <w:sz w:val="36"/>
          <w:szCs w:val="36"/>
        </w:rPr>
        <w:t xml:space="preserve"> </w:t>
      </w:r>
    </w:p>
    <w:p w:rsidR="00B71E28" w:rsidRDefault="00B71E28" w:rsidP="00B71E28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High Adoption: </w:t>
      </w:r>
      <w:r>
        <w:rPr>
          <w:sz w:val="36"/>
          <w:szCs w:val="36"/>
        </w:rPr>
        <w:t>Online Backup (~24%) and Device Protection (~29%) are the most popular add-ons.</w:t>
      </w:r>
    </w:p>
    <w:p w:rsidR="00B71E28" w:rsidRDefault="00B71E28" w:rsidP="00B71E28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Low Impact:</w:t>
      </w:r>
      <w:r>
        <w:rPr>
          <w:sz w:val="36"/>
          <w:szCs w:val="36"/>
        </w:rPr>
        <w:t xml:space="preserve"> These services are statistically ineffective at preventing churn for this cohort (Churn remains extremely high at </w:t>
      </w:r>
      <w:r>
        <w:rPr>
          <w:b/>
          <w:sz w:val="36"/>
          <w:szCs w:val="36"/>
        </w:rPr>
        <w:t xml:space="preserve">~67-68% </w:t>
      </w:r>
      <w:r>
        <w:rPr>
          <w:sz w:val="36"/>
          <w:szCs w:val="36"/>
        </w:rPr>
        <w:t xml:space="preserve">even with them.) </w:t>
      </w:r>
    </w:p>
    <w:p w:rsidR="00B71E28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The “Real” Anchors:</w:t>
      </w:r>
      <w:r>
        <w:rPr>
          <w:sz w:val="36"/>
          <w:szCs w:val="36"/>
        </w:rPr>
        <w:t xml:space="preserve"> </w:t>
      </w:r>
    </w:p>
    <w:p w:rsidR="00211F29" w:rsidRDefault="00211F29" w:rsidP="00211F29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Low Adoption: </w:t>
      </w:r>
      <w:r>
        <w:rPr>
          <w:sz w:val="36"/>
          <w:szCs w:val="36"/>
        </w:rPr>
        <w:t xml:space="preserve">Only </w:t>
      </w:r>
      <w:r>
        <w:rPr>
          <w:b/>
          <w:sz w:val="36"/>
          <w:szCs w:val="36"/>
        </w:rPr>
        <w:t xml:space="preserve">~13% </w:t>
      </w:r>
      <w:r>
        <w:rPr>
          <w:sz w:val="36"/>
          <w:szCs w:val="36"/>
        </w:rPr>
        <w:t xml:space="preserve">subscribe to Online Security and </w:t>
      </w:r>
      <w:r>
        <w:rPr>
          <w:b/>
          <w:sz w:val="36"/>
          <w:szCs w:val="36"/>
        </w:rPr>
        <w:t xml:space="preserve">~14% </w:t>
      </w:r>
      <w:r>
        <w:rPr>
          <w:sz w:val="36"/>
          <w:szCs w:val="36"/>
        </w:rPr>
        <w:t xml:space="preserve">to Tech Support. </w:t>
      </w:r>
    </w:p>
    <w:p w:rsidR="00211F29" w:rsidRPr="00211F29" w:rsidRDefault="00211F29" w:rsidP="00211F29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High Impact:</w:t>
      </w:r>
      <w:r>
        <w:rPr>
          <w:sz w:val="36"/>
          <w:szCs w:val="36"/>
        </w:rPr>
        <w:t xml:space="preserve"> These services provide a statistically significant “Retention Shield”, dropping churn risk to </w:t>
      </w:r>
      <w:r>
        <w:rPr>
          <w:b/>
          <w:sz w:val="36"/>
          <w:szCs w:val="36"/>
        </w:rPr>
        <w:t>~54-57%</w:t>
      </w:r>
    </w:p>
    <w:p w:rsidR="00211F29" w:rsidRDefault="00211F29" w:rsidP="00211F29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Conclusion: </w:t>
      </w:r>
      <w:r>
        <w:rPr>
          <w:sz w:val="36"/>
          <w:szCs w:val="36"/>
        </w:rPr>
        <w:t>We have a</w:t>
      </w:r>
      <w:r>
        <w:rPr>
          <w:b/>
          <w:sz w:val="36"/>
          <w:szCs w:val="36"/>
        </w:rPr>
        <w:t xml:space="preserve"> 15 point adoption gap. </w:t>
      </w:r>
      <w:r>
        <w:rPr>
          <w:sz w:val="36"/>
          <w:szCs w:val="36"/>
        </w:rPr>
        <w:t xml:space="preserve">Out highest value customers are opting for passive “insurance” (backup/device protection) rather than active “utility” </w:t>
      </w:r>
      <w:r>
        <w:rPr>
          <w:sz w:val="36"/>
          <w:szCs w:val="36"/>
        </w:rPr>
        <w:lastRenderedPageBreak/>
        <w:t>(security/support). This suggests our onboarding flow pushes the wrong upsells</w:t>
      </w:r>
    </w:p>
    <w:p w:rsidR="00211F29" w:rsidRDefault="00211F29" w:rsidP="00211F29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Business Implication:</w:t>
      </w:r>
      <w:r>
        <w:rPr>
          <w:sz w:val="36"/>
          <w:szCs w:val="36"/>
        </w:rPr>
        <w:t xml:space="preserve"> </w:t>
      </w:r>
    </w:p>
    <w:p w:rsidR="00211F29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Re-Rank Upsells: </w:t>
      </w:r>
      <w:r>
        <w:rPr>
          <w:sz w:val="36"/>
          <w:szCs w:val="36"/>
        </w:rPr>
        <w:t xml:space="preserve">Update the sales script and website UI to prioritize </w:t>
      </w:r>
      <w:r>
        <w:rPr>
          <w:b/>
          <w:sz w:val="36"/>
          <w:szCs w:val="36"/>
        </w:rPr>
        <w:t xml:space="preserve">Online Security </w:t>
      </w:r>
      <w:r>
        <w:rPr>
          <w:sz w:val="36"/>
          <w:szCs w:val="36"/>
        </w:rPr>
        <w:t xml:space="preserve">and </w:t>
      </w:r>
      <w:r>
        <w:rPr>
          <w:b/>
          <w:sz w:val="36"/>
          <w:szCs w:val="36"/>
        </w:rPr>
        <w:t>Tech Support</w:t>
      </w:r>
      <w:r>
        <w:rPr>
          <w:sz w:val="36"/>
          <w:szCs w:val="36"/>
        </w:rPr>
        <w:t xml:space="preserve"> as the default add-ons for high-tier plans. </w:t>
      </w:r>
    </w:p>
    <w:p w:rsidR="00211F29" w:rsidRPr="00211F29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Bundle Logic:</w:t>
      </w:r>
      <w:r>
        <w:rPr>
          <w:sz w:val="36"/>
          <w:szCs w:val="36"/>
        </w:rPr>
        <w:t xml:space="preserve"> Create a new “Customer Safety Pack” that bundles tech support with device protection</w:t>
      </w:r>
      <w:bookmarkStart w:id="0" w:name="_GoBack"/>
      <w:bookmarkEnd w:id="0"/>
      <w:r>
        <w:rPr>
          <w:sz w:val="36"/>
          <w:szCs w:val="36"/>
        </w:rPr>
        <w:t>. Use the popularity of the device protection to “Trojan Horse” the Tech support service that actually makes them stay</w:t>
      </w:r>
    </w:p>
    <w:p w:rsidR="00F71366" w:rsidRDefault="00F71366" w:rsidP="00F71366">
      <w:pPr>
        <w:rPr>
          <w:b/>
          <w:sz w:val="36"/>
          <w:szCs w:val="36"/>
        </w:rPr>
      </w:pPr>
    </w:p>
    <w:p w:rsidR="00F71366" w:rsidRPr="00F71366" w:rsidRDefault="00F71366" w:rsidP="00F71366">
      <w:pPr>
        <w:ind w:left="2880"/>
        <w:rPr>
          <w:b/>
          <w:sz w:val="36"/>
          <w:szCs w:val="36"/>
        </w:rPr>
      </w:pPr>
    </w:p>
    <w:p w:rsidR="007104D4" w:rsidRDefault="007104D4" w:rsidP="00E333E4">
      <w:pPr>
        <w:pStyle w:val="ListParagraph"/>
        <w:ind w:left="1440"/>
        <w:rPr>
          <w:sz w:val="36"/>
          <w:szCs w:val="36"/>
        </w:rPr>
      </w:pPr>
    </w:p>
    <w:p w:rsidR="00E333E4" w:rsidRPr="007104D4" w:rsidRDefault="00E333E4" w:rsidP="007104D4">
      <w:pPr>
        <w:rPr>
          <w:sz w:val="36"/>
          <w:szCs w:val="36"/>
        </w:rPr>
      </w:pPr>
    </w:p>
    <w:sectPr w:rsidR="00E333E4" w:rsidRPr="007104D4" w:rsidSect="00CC05E8">
      <w:headerReference w:type="default" r:id="rId24"/>
      <w:headerReference w:type="first" r:id="rId25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C26C5" w:rsidRDefault="00AC26C5" w:rsidP="006660D3">
      <w:pPr>
        <w:spacing w:after="0" w:line="240" w:lineRule="auto"/>
      </w:pPr>
      <w:r>
        <w:separator/>
      </w:r>
    </w:p>
  </w:endnote>
  <w:endnote w:type="continuationSeparator" w:id="0">
    <w:p w:rsidR="00AC26C5" w:rsidRDefault="00AC26C5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C26C5" w:rsidRDefault="00AC26C5" w:rsidP="006660D3">
      <w:pPr>
        <w:spacing w:after="0" w:line="240" w:lineRule="auto"/>
      </w:pPr>
      <w:r>
        <w:separator/>
      </w:r>
    </w:p>
  </w:footnote>
  <w:footnote w:type="continuationSeparator" w:id="0">
    <w:p w:rsidR="00AC26C5" w:rsidRDefault="00AC26C5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6B4665">
    <w:pPr>
      <w:pStyle w:val="Header"/>
      <w:numPr>
        <w:ilvl w:val="0"/>
        <w:numId w:val="2"/>
      </w:numPr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4665" w:rsidRPr="00CC05E8" w:rsidRDefault="006B4665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6B4665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 xml:space="preserve">2. </w:t>
    </w:r>
    <w:r w:rsidR="003324FA">
      <w:rPr>
        <w:b/>
        <w:sz w:val="50"/>
        <w:szCs w:val="50"/>
      </w:rPr>
      <w:t>Dataset Overview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2. Dataset Overview</w:t>
    </w:r>
  </w:p>
  <w:p w:rsidR="00795BDE" w:rsidRPr="00795BDE" w:rsidRDefault="00795BDE" w:rsidP="00795BDE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795BDE">
    <w:pPr>
      <w:pStyle w:val="Header"/>
      <w:jc w:val="center"/>
    </w:pPr>
  </w:p>
  <w:p w:rsidR="00795BDE" w:rsidRPr="00795BDE" w:rsidRDefault="00795BDE" w:rsidP="00795BDE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3324F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9D4261"/>
    <w:multiLevelType w:val="hybridMultilevel"/>
    <w:tmpl w:val="6F48B00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27B91DE1"/>
    <w:multiLevelType w:val="hybridMultilevel"/>
    <w:tmpl w:val="E806B424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9B13713"/>
    <w:multiLevelType w:val="hybridMultilevel"/>
    <w:tmpl w:val="D3F8770A"/>
    <w:lvl w:ilvl="0" w:tplc="0DC6E084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5A3F719F"/>
    <w:multiLevelType w:val="hybridMultilevel"/>
    <w:tmpl w:val="3E0EFD80"/>
    <w:lvl w:ilvl="0" w:tplc="2D94CC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5C57F99"/>
    <w:multiLevelType w:val="hybridMultilevel"/>
    <w:tmpl w:val="8A58DA54"/>
    <w:lvl w:ilvl="0" w:tplc="40C8BB10">
      <w:start w:val="1"/>
      <w:numFmt w:val="decimal"/>
      <w:lvlText w:val="%1."/>
      <w:lvlJc w:val="left"/>
      <w:pPr>
        <w:ind w:left="12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531" w:hanging="360"/>
      </w:pPr>
    </w:lvl>
    <w:lvl w:ilvl="2" w:tplc="0409001B" w:tentative="1">
      <w:start w:val="1"/>
      <w:numFmt w:val="lowerRoman"/>
      <w:lvlText w:val="%3."/>
      <w:lvlJc w:val="right"/>
      <w:pPr>
        <w:ind w:left="3251" w:hanging="180"/>
      </w:pPr>
    </w:lvl>
    <w:lvl w:ilvl="3" w:tplc="0409000F" w:tentative="1">
      <w:start w:val="1"/>
      <w:numFmt w:val="decimal"/>
      <w:lvlText w:val="%4."/>
      <w:lvlJc w:val="left"/>
      <w:pPr>
        <w:ind w:left="3971" w:hanging="360"/>
      </w:pPr>
    </w:lvl>
    <w:lvl w:ilvl="4" w:tplc="04090019" w:tentative="1">
      <w:start w:val="1"/>
      <w:numFmt w:val="lowerLetter"/>
      <w:lvlText w:val="%5."/>
      <w:lvlJc w:val="left"/>
      <w:pPr>
        <w:ind w:left="4691" w:hanging="360"/>
      </w:pPr>
    </w:lvl>
    <w:lvl w:ilvl="5" w:tplc="0409001B" w:tentative="1">
      <w:start w:val="1"/>
      <w:numFmt w:val="lowerRoman"/>
      <w:lvlText w:val="%6."/>
      <w:lvlJc w:val="right"/>
      <w:pPr>
        <w:ind w:left="5411" w:hanging="180"/>
      </w:pPr>
    </w:lvl>
    <w:lvl w:ilvl="6" w:tplc="0409000F" w:tentative="1">
      <w:start w:val="1"/>
      <w:numFmt w:val="decimal"/>
      <w:lvlText w:val="%7."/>
      <w:lvlJc w:val="left"/>
      <w:pPr>
        <w:ind w:left="6131" w:hanging="360"/>
      </w:pPr>
    </w:lvl>
    <w:lvl w:ilvl="7" w:tplc="04090019" w:tentative="1">
      <w:start w:val="1"/>
      <w:numFmt w:val="lowerLetter"/>
      <w:lvlText w:val="%8."/>
      <w:lvlJc w:val="left"/>
      <w:pPr>
        <w:ind w:left="6851" w:hanging="360"/>
      </w:pPr>
    </w:lvl>
    <w:lvl w:ilvl="8" w:tplc="0409001B" w:tentative="1">
      <w:start w:val="1"/>
      <w:numFmt w:val="lowerRoman"/>
      <w:lvlText w:val="%9."/>
      <w:lvlJc w:val="right"/>
      <w:pPr>
        <w:ind w:left="7571" w:hanging="180"/>
      </w:pPr>
    </w:lvl>
  </w:abstractNum>
  <w:abstractNum w:abstractNumId="5">
    <w:nsid w:val="66813AE6"/>
    <w:multiLevelType w:val="hybridMultilevel"/>
    <w:tmpl w:val="67DE263E"/>
    <w:lvl w:ilvl="0" w:tplc="E2567AA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10226D8"/>
    <w:multiLevelType w:val="hybridMultilevel"/>
    <w:tmpl w:val="C572240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00040F"/>
    <w:rsid w:val="00026AEC"/>
    <w:rsid w:val="00034FF3"/>
    <w:rsid w:val="000456DE"/>
    <w:rsid w:val="000678A5"/>
    <w:rsid w:val="00121862"/>
    <w:rsid w:val="00142652"/>
    <w:rsid w:val="00205041"/>
    <w:rsid w:val="00211F29"/>
    <w:rsid w:val="00222A67"/>
    <w:rsid w:val="003324FA"/>
    <w:rsid w:val="005872F3"/>
    <w:rsid w:val="0059324D"/>
    <w:rsid w:val="00600F51"/>
    <w:rsid w:val="006660D3"/>
    <w:rsid w:val="006B4665"/>
    <w:rsid w:val="007104D4"/>
    <w:rsid w:val="00795BDE"/>
    <w:rsid w:val="008C0C43"/>
    <w:rsid w:val="008D0C7F"/>
    <w:rsid w:val="008F21A1"/>
    <w:rsid w:val="008F5147"/>
    <w:rsid w:val="009054F2"/>
    <w:rsid w:val="0091324D"/>
    <w:rsid w:val="00976FBA"/>
    <w:rsid w:val="00AC26C5"/>
    <w:rsid w:val="00AF63EF"/>
    <w:rsid w:val="00AF7FFE"/>
    <w:rsid w:val="00B71E28"/>
    <w:rsid w:val="00C446BB"/>
    <w:rsid w:val="00CC05E8"/>
    <w:rsid w:val="00CE30B7"/>
    <w:rsid w:val="00D31031"/>
    <w:rsid w:val="00D3193A"/>
    <w:rsid w:val="00D75467"/>
    <w:rsid w:val="00E333E4"/>
    <w:rsid w:val="00E74AB3"/>
    <w:rsid w:val="00E77A27"/>
    <w:rsid w:val="00EA17A5"/>
    <w:rsid w:val="00EC12B1"/>
    <w:rsid w:val="00F477C1"/>
    <w:rsid w:val="00F71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12B1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5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9C3986-4193-47F3-BEAA-B1B13138C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17</Pages>
  <Words>1622</Words>
  <Characters>9250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16</cp:revision>
  <dcterms:created xsi:type="dcterms:W3CDTF">2026-01-07T07:49:00Z</dcterms:created>
  <dcterms:modified xsi:type="dcterms:W3CDTF">2026-01-13T13:40:00Z</dcterms:modified>
</cp:coreProperties>
</file>