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AF63EF">
        <w:rPr>
          <w:b/>
          <w:i/>
          <w:sz w:val="40"/>
          <w:szCs w:val="40"/>
        </w:rPr>
        <w:t>Univariate</w:t>
      </w:r>
      <w:proofErr w:type="spellEnd"/>
      <w:r w:rsidRPr="00AF63EF">
        <w:rPr>
          <w:b/>
          <w:i/>
          <w:sz w:val="40"/>
          <w:szCs w:val="40"/>
        </w:rPr>
        <w:t xml:space="preserve">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600F51" w:rsidP="00AF63EF">
      <w:pPr>
        <w:pStyle w:val="ListParagraph"/>
        <w:rPr>
          <w:sz w:val="40"/>
          <w:szCs w:val="40"/>
        </w:rPr>
      </w:pPr>
      <w:r w:rsidRPr="00AF63EF">
        <w:rPr>
          <w:b/>
          <w:i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5AEF7D73" wp14:editId="30AC8D9A">
            <wp:simplePos x="0" y="0"/>
            <wp:positionH relativeFrom="margin">
              <wp:posOffset>19050</wp:posOffset>
            </wp:positionH>
            <wp:positionV relativeFrom="page">
              <wp:posOffset>4765040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63EF"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 w:rsidR="00AF63EF"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</w:t>
      </w:r>
      <w:r w:rsidR="00121862">
        <w:rPr>
          <w:sz w:val="36"/>
          <w:szCs w:val="36"/>
        </w:rPr>
        <w:t>ods (Credit Card/Bank Transfer), and more than double the churn rate of Mailed Checks ~20%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862" w:rsidRDefault="00121862" w:rsidP="00121862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Root-Cause Analysis:</w:t>
      </w:r>
      <w:r>
        <w:rPr>
          <w:sz w:val="36"/>
          <w:szCs w:val="36"/>
        </w:rPr>
        <w:t xml:space="preserve"> Multivariate analysis revealed that this was a proxy for inherently risky customers, not a payment method issue. </w:t>
      </w:r>
    </w:p>
    <w:p w:rsidR="00121862" w:rsidRDefault="00121862" w:rsidP="00D31031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</w:t>
      </w:r>
      <w:r w:rsidRPr="00121862">
        <w:rPr>
          <w:b/>
          <w:sz w:val="36"/>
          <w:szCs w:val="36"/>
        </w:rPr>
        <w:t>67%</w:t>
      </w:r>
      <w:r>
        <w:rPr>
          <w:sz w:val="36"/>
          <w:szCs w:val="36"/>
        </w:rPr>
        <w:t xml:space="preserve"> of E-Check users are subscribed to fiber-optic (our highest churning product)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sz w:val="36"/>
          <w:szCs w:val="36"/>
        </w:rPr>
        <w:lastRenderedPageBreak/>
        <w:drawing>
          <wp:inline distT="0" distB="0" distL="0" distR="0" wp14:anchorId="40E48E6F" wp14:editId="66BBCAE1">
            <wp:extent cx="2676899" cy="1695687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payment methods and </w:t>
      </w:r>
      <w:r>
        <w:rPr>
          <w:b/>
          <w:i/>
          <w:sz w:val="20"/>
          <w:szCs w:val="20"/>
        </w:rPr>
        <w:t>Subscription to fiber optic</w:t>
      </w:r>
    </w:p>
    <w:p w:rsidR="00D31031" w:rsidRPr="00D31031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</w:t>
      </w:r>
      <w:r w:rsidRPr="00121862">
        <w:rPr>
          <w:b/>
          <w:sz w:val="36"/>
          <w:szCs w:val="36"/>
        </w:rPr>
        <w:t>78%</w:t>
      </w:r>
      <w:r>
        <w:rPr>
          <w:sz w:val="36"/>
          <w:szCs w:val="36"/>
        </w:rPr>
        <w:t xml:space="preserve"> of E-Check users are on month to month contracts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sz w:val="36"/>
          <w:szCs w:val="36"/>
        </w:rPr>
        <w:drawing>
          <wp:inline distT="0" distB="0" distL="0" distR="0" wp14:anchorId="7EEA4FD7" wp14:editId="44DBDEF7">
            <wp:extent cx="2857899" cy="16385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contracts</w:t>
      </w:r>
    </w:p>
    <w:p w:rsidR="00D31031" w:rsidRP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</w:t>
      </w:r>
      <w:r w:rsidR="00D31031">
        <w:rPr>
          <w:b/>
          <w:sz w:val="36"/>
          <w:szCs w:val="36"/>
        </w:rPr>
        <w:t>6</w:t>
      </w:r>
      <w:r w:rsidRPr="00121862">
        <w:rPr>
          <w:b/>
          <w:sz w:val="36"/>
          <w:szCs w:val="36"/>
        </w:rPr>
        <w:t>%</w:t>
      </w:r>
      <w:r>
        <w:rPr>
          <w:sz w:val="36"/>
          <w:szCs w:val="36"/>
        </w:rPr>
        <w:t xml:space="preserve"> of E-Check users also exhibit low stickiness (defined as &lt;= 1 sticky service)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sz w:val="36"/>
          <w:szCs w:val="36"/>
        </w:rPr>
        <w:drawing>
          <wp:inline distT="0" distB="0" distL="0" distR="0" wp14:anchorId="459A1E43" wp14:editId="3870821F">
            <wp:extent cx="3181794" cy="1686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</w:t>
      </w:r>
      <w:r>
        <w:rPr>
          <w:b/>
          <w:i/>
          <w:sz w:val="20"/>
          <w:szCs w:val="20"/>
        </w:rPr>
        <w:t xml:space="preserve"> Stickiness. </w:t>
      </w:r>
    </w:p>
    <w:p w:rsidR="00D31031" w:rsidRPr="00121862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Pr="00121862" w:rsidRDefault="00121862" w:rsidP="00121862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 w:rsidRPr="00121862">
        <w:rPr>
          <w:b/>
          <w:sz w:val="36"/>
          <w:szCs w:val="36"/>
        </w:rPr>
        <w:t xml:space="preserve">Business Implication: </w:t>
      </w:r>
      <w:r>
        <w:rPr>
          <w:sz w:val="36"/>
          <w:szCs w:val="36"/>
        </w:rPr>
        <w:t xml:space="preserve">Simply changing payment options will yield limited ROI. Retention efforts must focus on migrating </w:t>
      </w:r>
      <w:r>
        <w:rPr>
          <w:sz w:val="36"/>
          <w:szCs w:val="36"/>
        </w:rPr>
        <w:lastRenderedPageBreak/>
        <w:t>these users to longer-term contracts or bundling them with sticky services</w:t>
      </w:r>
    </w:p>
    <w:p w:rsidR="00121862" w:rsidRPr="00121862" w:rsidRDefault="00121862" w:rsidP="00121862">
      <w:pPr>
        <w:pStyle w:val="ListParagraph"/>
        <w:rPr>
          <w:sz w:val="36"/>
          <w:szCs w:val="36"/>
        </w:rPr>
      </w:pPr>
    </w:p>
    <w:p w:rsidR="00F477C1" w:rsidRDefault="00F477C1" w:rsidP="00F477C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Insight 2</w:t>
      </w:r>
      <w:r w:rsidRPr="00EC12B1">
        <w:rPr>
          <w:b/>
          <w:sz w:val="36"/>
          <w:szCs w:val="36"/>
        </w:rPr>
        <w:t xml:space="preserve">: The </w:t>
      </w:r>
      <w:r w:rsidR="00976FBA">
        <w:rPr>
          <w:b/>
          <w:sz w:val="36"/>
          <w:szCs w:val="36"/>
        </w:rPr>
        <w:t>“Stickiness” Ecosystem and the Retention Wall</w:t>
      </w:r>
      <w:r w:rsidRPr="00EC12B1">
        <w:rPr>
          <w:b/>
          <w:sz w:val="36"/>
          <w:szCs w:val="36"/>
        </w:rPr>
        <w:t xml:space="preserve">: </w:t>
      </w:r>
    </w:p>
    <w:p w:rsidR="00F477C1" w:rsidRPr="005872F3" w:rsidRDefault="00976FBA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“Stickiness” (adoption of ancillary services) is not evenly distributed </w:t>
      </w: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Demographic Driver: </w:t>
      </w:r>
      <w:r>
        <w:rPr>
          <w:sz w:val="36"/>
          <w:szCs w:val="36"/>
        </w:rPr>
        <w:t xml:space="preserve">Users with partners have a 50% higher stickiness score (mean of 1.53) than single users (mean of 1.01) 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sz w:val="36"/>
          <w:szCs w:val="36"/>
        </w:rPr>
        <w:drawing>
          <wp:inline distT="0" distB="0" distL="0" distR="0" wp14:anchorId="338BBEC3" wp14:editId="19AD0FD7">
            <wp:extent cx="3362794" cy="1009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</w:t>
      </w:r>
      <w:r>
        <w:rPr>
          <w:b/>
          <w:i/>
          <w:sz w:val="20"/>
          <w:szCs w:val="20"/>
        </w:rPr>
        <w:t>stickiness and partner status</w:t>
      </w:r>
      <w:bookmarkStart w:id="0" w:name="_GoBack"/>
      <w:bookmarkEnd w:id="0"/>
    </w:p>
    <w:p w:rsidR="00D31031" w:rsidRPr="00976FBA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“Retention Wall”: </w:t>
      </w:r>
      <w:r>
        <w:rPr>
          <w:sz w:val="36"/>
          <w:szCs w:val="36"/>
        </w:rPr>
        <w:t xml:space="preserve">Stickiness does not grow linearly. It remains sluggish (0.55) -&gt; (0.94) for the first 24 months and then </w:t>
      </w:r>
      <w:r w:rsidRPr="00976FBA">
        <w:rPr>
          <w:b/>
          <w:sz w:val="36"/>
          <w:szCs w:val="36"/>
        </w:rPr>
        <w:t>nearly doubles</w:t>
      </w:r>
      <w:r>
        <w:rPr>
          <w:sz w:val="36"/>
          <w:szCs w:val="36"/>
        </w:rPr>
        <w:t xml:space="preserve"> (to 1.76) after the 2-year mark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sz w:val="36"/>
          <w:szCs w:val="36"/>
        </w:rPr>
        <w:drawing>
          <wp:inline distT="0" distB="0" distL="0" distR="0" wp14:anchorId="3BDE29D1" wp14:editId="1FC91DEE">
            <wp:extent cx="4153480" cy="13241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</w:t>
      </w:r>
      <w:r>
        <w:rPr>
          <w:b/>
          <w:i/>
          <w:sz w:val="20"/>
          <w:szCs w:val="20"/>
        </w:rPr>
        <w:t xml:space="preserve">stribution </w:t>
      </w:r>
      <w:r>
        <w:rPr>
          <w:b/>
          <w:i/>
          <w:sz w:val="20"/>
          <w:szCs w:val="20"/>
        </w:rPr>
        <w:t xml:space="preserve">of </w:t>
      </w:r>
      <w:r>
        <w:rPr>
          <w:b/>
          <w:i/>
          <w:sz w:val="20"/>
          <w:szCs w:val="20"/>
        </w:rPr>
        <w:t>stickiness and tenure</w:t>
      </w:r>
    </w:p>
    <w:p w:rsidR="00D31031" w:rsidRPr="005872F3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“Protection Gap”: </w:t>
      </w:r>
      <w:r>
        <w:rPr>
          <w:sz w:val="36"/>
          <w:szCs w:val="36"/>
        </w:rPr>
        <w:t>There is a critical misalignment in our product tiers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DSL users (Lower ARPU): </w:t>
      </w:r>
      <w:r>
        <w:rPr>
          <w:sz w:val="36"/>
          <w:szCs w:val="36"/>
        </w:rPr>
        <w:t xml:space="preserve">Highly embedded with “Retention Anchors” (Tech support/security)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Fiber users (Highest ARPU): </w:t>
      </w:r>
      <w:r w:rsidRPr="005872F3">
        <w:rPr>
          <w:b/>
          <w:sz w:val="36"/>
          <w:szCs w:val="36"/>
        </w:rPr>
        <w:t>~56%</w:t>
      </w:r>
      <w:r w:rsidRPr="005872F3">
        <w:rPr>
          <w:sz w:val="36"/>
          <w:szCs w:val="36"/>
        </w:rPr>
        <w:t xml:space="preserve"> have Streaming (Entertainment), but only </w:t>
      </w:r>
      <w:r w:rsidRPr="005872F3">
        <w:rPr>
          <w:b/>
          <w:bCs/>
          <w:sz w:val="36"/>
          <w:szCs w:val="36"/>
        </w:rPr>
        <w:t>~27%</w:t>
      </w:r>
      <w:r w:rsidRPr="005872F3">
        <w:rPr>
          <w:sz w:val="36"/>
          <w:szCs w:val="36"/>
        </w:rPr>
        <w:t xml:space="preserve"> have Online Security. We are selling our most expensive product with the weakest "lock-in" features.</w:t>
      </w:r>
    </w:p>
    <w:p w:rsid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bCs/>
          <w:sz w:val="36"/>
          <w:szCs w:val="36"/>
        </w:rPr>
        <w:t>Immediate Action:</w:t>
      </w:r>
      <w:r w:rsidRPr="005872F3">
        <w:rPr>
          <w:b/>
          <w:sz w:val="36"/>
          <w:szCs w:val="36"/>
        </w:rPr>
        <w:t xml:space="preserve"> </w:t>
      </w:r>
      <w:r w:rsidRPr="005872F3">
        <w:rPr>
          <w:sz w:val="36"/>
          <w:szCs w:val="36"/>
        </w:rPr>
        <w:t xml:space="preserve">Launch a </w:t>
      </w:r>
      <w:r w:rsidRPr="005872F3">
        <w:rPr>
          <w:b/>
          <w:bCs/>
          <w:sz w:val="36"/>
          <w:szCs w:val="36"/>
        </w:rPr>
        <w:t>"Year 2 Anniversary"</w:t>
      </w:r>
      <w:r w:rsidRPr="005872F3">
        <w:rPr>
          <w:bCs/>
          <w:sz w:val="36"/>
          <w:szCs w:val="36"/>
        </w:rPr>
        <w:t xml:space="preserve"> campaign</w:t>
      </w:r>
      <w:r w:rsidRPr="005872F3">
        <w:rPr>
          <w:sz w:val="36"/>
          <w:szCs w:val="36"/>
        </w:rPr>
        <w:t xml:space="preserve"> to pull stickiness forward into the 12-18 month window, rather than waiting for organic adoption</w:t>
      </w:r>
      <w:r w:rsidRPr="005872F3">
        <w:rPr>
          <w:b/>
          <w:sz w:val="36"/>
          <w:szCs w:val="36"/>
        </w:rPr>
        <w:t>.</w:t>
      </w:r>
    </w:p>
    <w:p w:rsidR="00976FBA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sz w:val="36"/>
          <w:szCs w:val="36"/>
        </w:rPr>
        <w:t xml:space="preserve">Strategic Shift: </w:t>
      </w:r>
      <w:r w:rsidRPr="005872F3">
        <w:rPr>
          <w:sz w:val="36"/>
          <w:szCs w:val="36"/>
        </w:rPr>
        <w:t>Stop selling Fiber as just "Fast Internet." Sell it as "Secure Internet" by defaulting new Fiber sign-ups into a "Security First" bundle (Tech Support + Online Security) for the first 3 months to reduce early-life churn.</w:t>
      </w:r>
    </w:p>
    <w:p w:rsidR="005872F3" w:rsidRPr="005872F3" w:rsidRDefault="005872F3" w:rsidP="005872F3">
      <w:pPr>
        <w:pStyle w:val="ListParagraph"/>
        <w:ind w:left="2160"/>
        <w:rPr>
          <w:b/>
          <w:sz w:val="36"/>
          <w:szCs w:val="36"/>
        </w:rPr>
      </w:pPr>
    </w:p>
    <w:p w:rsidR="00EC12B1" w:rsidRPr="00F477C1" w:rsidRDefault="005872F3" w:rsidP="00F477C1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3: The Month to Month paradox (High value, High risk)</w:t>
      </w:r>
    </w:p>
    <w:sectPr w:rsidR="00EC12B1" w:rsidRPr="00F477C1" w:rsidSect="00CC05E8">
      <w:headerReference w:type="default" r:id="rId23"/>
      <w:headerReference w:type="first" r:id="rId24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5041" w:rsidRDefault="00205041" w:rsidP="006660D3">
      <w:pPr>
        <w:spacing w:after="0" w:line="240" w:lineRule="auto"/>
      </w:pPr>
      <w:r>
        <w:separator/>
      </w:r>
    </w:p>
  </w:endnote>
  <w:endnote w:type="continuationSeparator" w:id="0">
    <w:p w:rsidR="00205041" w:rsidRDefault="00205041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5041" w:rsidRDefault="00205041" w:rsidP="006660D3">
      <w:pPr>
        <w:spacing w:after="0" w:line="240" w:lineRule="auto"/>
      </w:pPr>
      <w:r>
        <w:separator/>
      </w:r>
    </w:p>
  </w:footnote>
  <w:footnote w:type="continuationSeparator" w:id="0">
    <w:p w:rsidR="00205041" w:rsidRDefault="00205041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9D4261"/>
    <w:multiLevelType w:val="hybridMultilevel"/>
    <w:tmpl w:val="6F48B00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5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0226D8"/>
    <w:multiLevelType w:val="hybridMultilevel"/>
    <w:tmpl w:val="C57224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456DE"/>
    <w:rsid w:val="00121862"/>
    <w:rsid w:val="00142652"/>
    <w:rsid w:val="00205041"/>
    <w:rsid w:val="003324FA"/>
    <w:rsid w:val="005872F3"/>
    <w:rsid w:val="00600F51"/>
    <w:rsid w:val="006660D3"/>
    <w:rsid w:val="006B4665"/>
    <w:rsid w:val="00795BDE"/>
    <w:rsid w:val="008C0C43"/>
    <w:rsid w:val="008D0C7F"/>
    <w:rsid w:val="008F5147"/>
    <w:rsid w:val="009054F2"/>
    <w:rsid w:val="0091324D"/>
    <w:rsid w:val="00976FBA"/>
    <w:rsid w:val="00AF63EF"/>
    <w:rsid w:val="00AF7FFE"/>
    <w:rsid w:val="00CC05E8"/>
    <w:rsid w:val="00CE30B7"/>
    <w:rsid w:val="00D31031"/>
    <w:rsid w:val="00D3193A"/>
    <w:rsid w:val="00D75467"/>
    <w:rsid w:val="00E74AB3"/>
    <w:rsid w:val="00E77A27"/>
    <w:rsid w:val="00EA17A5"/>
    <w:rsid w:val="00EC12B1"/>
    <w:rsid w:val="00F4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6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5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CBD74-0FEA-4407-A336-7CCFC86BC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13</Pages>
  <Words>1028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13</cp:revision>
  <dcterms:created xsi:type="dcterms:W3CDTF">2026-01-07T07:49:00Z</dcterms:created>
  <dcterms:modified xsi:type="dcterms:W3CDTF">2026-01-09T10:30:00Z</dcterms:modified>
</cp:coreProperties>
</file>