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AF63EF">
        <w:rPr>
          <w:b/>
          <w:i/>
          <w:sz w:val="40"/>
          <w:szCs w:val="40"/>
        </w:rPr>
        <w:t>Univariate</w:t>
      </w:r>
      <w:proofErr w:type="spellEnd"/>
      <w:r w:rsidRPr="00AF63EF">
        <w:rPr>
          <w:b/>
          <w:i/>
          <w:sz w:val="40"/>
          <w:szCs w:val="40"/>
        </w:rPr>
        <w:t xml:space="preserve">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stickiness and partner status</w:t>
      </w:r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 of 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C446BB" w:rsidRDefault="005872F3" w:rsidP="00C446B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p w:rsidR="00C446BB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Finding: Month-to-Month</w:t>
      </w:r>
      <w:r>
        <w:rPr>
          <w:sz w:val="36"/>
          <w:szCs w:val="36"/>
        </w:rPr>
        <w:t xml:space="preserve"> users have the highest average revenue per user </w:t>
      </w:r>
      <w:r>
        <w:rPr>
          <w:b/>
          <w:sz w:val="36"/>
          <w:szCs w:val="36"/>
        </w:rPr>
        <w:t>(ARPU)</w:t>
      </w:r>
      <w:r>
        <w:rPr>
          <w:sz w:val="36"/>
          <w:szCs w:val="36"/>
        </w:rPr>
        <w:t xml:space="preserve"> ($66 </w:t>
      </w:r>
      <w:r w:rsidR="00222A67">
        <w:rPr>
          <w:sz w:val="36"/>
          <w:szCs w:val="36"/>
        </w:rPr>
        <w:t>vs.</w:t>
      </w:r>
      <w:r>
        <w:rPr>
          <w:sz w:val="36"/>
          <w:szCs w:val="36"/>
        </w:rPr>
        <w:t xml:space="preserve"> $60 for 2-year-contracts). However, this segment is structurally unstable due to two distinct failure modes. </w:t>
      </w:r>
    </w:p>
    <w:p w:rsidR="00C446BB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Failure Mode A: The Month 1 “cliff” (Early Failure)</w:t>
      </w:r>
    </w:p>
    <w:p w:rsidR="00C446BB" w:rsidRDefault="00C446BB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 w:rsidRPr="00222A67">
        <w:rPr>
          <w:b/>
          <w:sz w:val="36"/>
          <w:szCs w:val="36"/>
        </w:rPr>
        <w:t>~60%</w:t>
      </w:r>
      <w:r>
        <w:rPr>
          <w:sz w:val="36"/>
          <w:szCs w:val="36"/>
        </w:rPr>
        <w:t xml:space="preserve"> of M2M users churn in the very first month with </w:t>
      </w:r>
      <w:r w:rsidR="00222A67">
        <w:rPr>
          <w:sz w:val="36"/>
          <w:szCs w:val="36"/>
        </w:rPr>
        <w:t xml:space="preserve">a further decline of </w:t>
      </w:r>
      <w:r w:rsidR="00222A67" w:rsidRPr="00222A67">
        <w:rPr>
          <w:b/>
          <w:sz w:val="36"/>
          <w:szCs w:val="36"/>
        </w:rPr>
        <w:t>~</w:t>
      </w:r>
      <w:r w:rsidRPr="00222A67">
        <w:rPr>
          <w:b/>
          <w:sz w:val="36"/>
          <w:szCs w:val="36"/>
        </w:rPr>
        <w:t>50%</w:t>
      </w:r>
      <w:r>
        <w:rPr>
          <w:sz w:val="36"/>
          <w:szCs w:val="36"/>
        </w:rPr>
        <w:t xml:space="preserve">, the next month however from here onwards, where users are </w:t>
      </w:r>
      <w:r w:rsidR="00222A67">
        <w:rPr>
          <w:sz w:val="36"/>
          <w:szCs w:val="36"/>
        </w:rPr>
        <w:t xml:space="preserve">statistically </w:t>
      </w:r>
      <w:r>
        <w:rPr>
          <w:sz w:val="36"/>
          <w:szCs w:val="36"/>
        </w:rPr>
        <w:t xml:space="preserve">less likely to churn than to churn. However, at this point a </w:t>
      </w:r>
      <w:r w:rsidRPr="00222A67">
        <w:rPr>
          <w:b/>
          <w:sz w:val="36"/>
          <w:szCs w:val="36"/>
        </w:rPr>
        <w:t>vast number of the cohort is gone already (</w:t>
      </w:r>
      <w:r w:rsidR="00222A67" w:rsidRPr="00222A67">
        <w:rPr>
          <w:b/>
          <w:sz w:val="36"/>
          <w:szCs w:val="36"/>
        </w:rPr>
        <w:t>from 100% down to 30%)</w:t>
      </w:r>
      <w:r w:rsidR="00222A67">
        <w:rPr>
          <w:sz w:val="36"/>
          <w:szCs w:val="36"/>
        </w:rPr>
        <w:t xml:space="preserve"> with a churn rate of </w:t>
      </w:r>
      <w:r w:rsidR="00222A67" w:rsidRPr="00222A67">
        <w:rPr>
          <w:b/>
          <w:sz w:val="36"/>
          <w:szCs w:val="36"/>
        </w:rPr>
        <w:t>~45%</w:t>
      </w:r>
      <w:r w:rsidR="00222A67">
        <w:rPr>
          <w:sz w:val="36"/>
          <w:szCs w:val="36"/>
        </w:rPr>
        <w:t xml:space="preserve"> until month 6</w:t>
      </w:r>
    </w:p>
    <w:p w:rsidR="00222A67" w:rsidRDefault="00222A67" w:rsidP="00222A67">
      <w:pPr>
        <w:pStyle w:val="ListParagraph"/>
        <w:ind w:left="2880"/>
        <w:rPr>
          <w:sz w:val="36"/>
          <w:szCs w:val="36"/>
        </w:rPr>
      </w:pPr>
      <w:r w:rsidRPr="00222A67">
        <w:rPr>
          <w:noProof/>
          <w:sz w:val="36"/>
          <w:szCs w:val="36"/>
        </w:rPr>
        <w:lastRenderedPageBreak/>
        <w:drawing>
          <wp:inline distT="0" distB="0" distL="0" distR="0" wp14:anchorId="273F6361" wp14:editId="12FAF35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67" w:rsidRDefault="00222A67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Root Cause: </w:t>
      </w:r>
      <w:r>
        <w:rPr>
          <w:sz w:val="36"/>
          <w:szCs w:val="36"/>
        </w:rPr>
        <w:t xml:space="preserve">This immediate exit suggests an onboarding failure (expectations mismatch or technical issues) rather than price sensitivity. </w:t>
      </w:r>
    </w:p>
    <w:p w:rsidR="00222A67" w:rsidRPr="00C446BB" w:rsidRDefault="00222A67" w:rsidP="00222A67">
      <w:pPr>
        <w:pStyle w:val="ListParagraph"/>
        <w:ind w:left="2880"/>
        <w:rPr>
          <w:sz w:val="36"/>
          <w:szCs w:val="36"/>
        </w:rPr>
      </w:pPr>
    </w:p>
    <w:p w:rsidR="00C446BB" w:rsidRPr="00222A67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Failure Mode B: The “Vulnerable Veteran” (Late Failure) </w:t>
      </w:r>
    </w:p>
    <w:p w:rsidR="00222A67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sub-segment of users with &gt;24 months tenure remain on M2M contracts. They pay a premium </w:t>
      </w:r>
      <w:r w:rsidRPr="00222A67">
        <w:rPr>
          <w:b/>
          <w:sz w:val="36"/>
          <w:szCs w:val="36"/>
        </w:rPr>
        <w:t>(~$79 ARPU) monthly</w:t>
      </w:r>
      <w:r>
        <w:rPr>
          <w:sz w:val="36"/>
          <w:szCs w:val="36"/>
        </w:rPr>
        <w:t xml:space="preserve">, yet </w:t>
      </w:r>
      <w:r w:rsidRPr="00222A67">
        <w:rPr>
          <w:b/>
          <w:sz w:val="36"/>
          <w:szCs w:val="36"/>
        </w:rPr>
        <w:t>91%</w:t>
      </w:r>
      <w:r>
        <w:rPr>
          <w:sz w:val="36"/>
          <w:szCs w:val="36"/>
        </w:rPr>
        <w:t xml:space="preserve"> of them are “unanchored” (missing tech support/online security).</w:t>
      </w:r>
    </w:p>
    <w:p w:rsidR="00034FF3" w:rsidRDefault="00034FF3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 w:rsidRPr="00034FF3">
        <w:rPr>
          <w:b/>
          <w:bCs/>
          <w:sz w:val="36"/>
          <w:szCs w:val="36"/>
        </w:rPr>
        <w:t>The Anchor Gap:</w:t>
      </w:r>
      <w:r w:rsidRPr="00034FF3">
        <w:rPr>
          <w:sz w:val="36"/>
          <w:szCs w:val="36"/>
        </w:rPr>
        <w:t xml:space="preserve"> While 79% of these users purchase </w:t>
      </w:r>
      <w:r w:rsidRPr="00034FF3">
        <w:rPr>
          <w:i/>
          <w:iCs/>
          <w:sz w:val="36"/>
          <w:szCs w:val="36"/>
        </w:rPr>
        <w:t>some</w:t>
      </w:r>
      <w:r w:rsidRPr="00034FF3">
        <w:rPr>
          <w:sz w:val="36"/>
          <w:szCs w:val="36"/>
        </w:rPr>
        <w:t xml:space="preserve"> add-ons (mostly Streaming/Entertainment), </w:t>
      </w:r>
      <w:r w:rsidRPr="00034FF3">
        <w:rPr>
          <w:b/>
          <w:bCs/>
          <w:sz w:val="36"/>
          <w:szCs w:val="36"/>
        </w:rPr>
        <w:t>91% are "Unanchored"</w:t>
      </w:r>
      <w:r w:rsidRPr="00034FF3">
        <w:rPr>
          <w:sz w:val="36"/>
          <w:szCs w:val="36"/>
        </w:rPr>
        <w:t xml:space="preserve"> (lacking Tech Support or Online Secur</w:t>
      </w:r>
      <w:r>
        <w:rPr>
          <w:sz w:val="36"/>
          <w:szCs w:val="36"/>
        </w:rPr>
        <w:t>ity)</w:t>
      </w:r>
    </w:p>
    <w:p w:rsidR="00222A67" w:rsidRPr="00C446BB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Risk:</w:t>
      </w:r>
      <w:r>
        <w:rPr>
          <w:sz w:val="36"/>
          <w:szCs w:val="36"/>
        </w:rPr>
        <w:t xml:space="preserve"> While these users are loyal, with them having – 0 stickiness score only 21% of the time, their churn </w:t>
      </w:r>
      <w:r w:rsidR="00034FF3" w:rsidRPr="00034FF3">
        <w:rPr>
          <w:b/>
          <w:sz w:val="36"/>
          <w:szCs w:val="36"/>
        </w:rPr>
        <w:lastRenderedPageBreak/>
        <w:t>(45%)</w:t>
      </w:r>
      <w:r w:rsidR="00034FF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risk remains </w:t>
      </w:r>
      <w:r w:rsidRPr="00222A67">
        <w:rPr>
          <w:b/>
          <w:sz w:val="36"/>
          <w:szCs w:val="36"/>
        </w:rPr>
        <w:t>2.5x higher</w:t>
      </w:r>
      <w:r>
        <w:rPr>
          <w:sz w:val="36"/>
          <w:szCs w:val="36"/>
        </w:rPr>
        <w:t xml:space="preserve"> than anchored users</w:t>
      </w:r>
      <w:r w:rsidR="00034FF3">
        <w:rPr>
          <w:sz w:val="36"/>
          <w:szCs w:val="36"/>
        </w:rPr>
        <w:t xml:space="preserve"> </w:t>
      </w:r>
      <w:r w:rsidR="00034FF3" w:rsidRPr="00034FF3">
        <w:rPr>
          <w:b/>
          <w:sz w:val="36"/>
          <w:szCs w:val="36"/>
        </w:rPr>
        <w:t>(18%)</w:t>
      </w:r>
      <w:r w:rsidRPr="00034FF3">
        <w:rPr>
          <w:b/>
          <w:sz w:val="36"/>
          <w:szCs w:val="36"/>
        </w:rPr>
        <w:t>,</w:t>
      </w:r>
      <w:r>
        <w:rPr>
          <w:sz w:val="36"/>
          <w:szCs w:val="36"/>
        </w:rPr>
        <w:t xml:space="preserve"> despite their loyalty </w:t>
      </w:r>
    </w:p>
    <w:p w:rsidR="00C446BB" w:rsidRPr="00034FF3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Fix the Onboarding: </w:t>
      </w:r>
      <w:r>
        <w:rPr>
          <w:sz w:val="36"/>
          <w:szCs w:val="36"/>
        </w:rPr>
        <w:t xml:space="preserve">Audit onboarding flows for possible leaks and shift retention resources to days 0-60 as this has proven to be our most volatile period of the customer journey. Mandatory “Setup support” calls for new M2M users may mitigate the month 1 cliff.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Anchor the Veterans:</w:t>
      </w:r>
      <w:r>
        <w:rPr>
          <w:sz w:val="36"/>
          <w:szCs w:val="36"/>
        </w:rPr>
        <w:t xml:space="preserve"> Do not force the vulnerable veterans into long </w:t>
      </w:r>
      <w:r w:rsidRPr="00034FF3">
        <w:rPr>
          <w:sz w:val="36"/>
          <w:szCs w:val="36"/>
        </w:rPr>
        <w:t xml:space="preserve">contracts (which adds friction). Instead, incentivize them to add </w:t>
      </w:r>
      <w:r w:rsidRPr="00034FF3">
        <w:rPr>
          <w:b/>
          <w:bCs/>
          <w:sz w:val="36"/>
          <w:szCs w:val="36"/>
        </w:rPr>
        <w:t>one anchor service</w:t>
      </w:r>
      <w:r w:rsidRPr="00034FF3">
        <w:rPr>
          <w:sz w:val="36"/>
          <w:szCs w:val="36"/>
        </w:rPr>
        <w:t xml:space="preserve"> (e.g., "Free Tech Support Upgrade") to lock them in via product utility.</w:t>
      </w:r>
    </w:p>
    <w:p w:rsidR="00E333E4" w:rsidRDefault="00E333E4" w:rsidP="00E333E4">
      <w:pPr>
        <w:pStyle w:val="ListParagraph"/>
        <w:ind w:left="2160"/>
        <w:rPr>
          <w:sz w:val="36"/>
          <w:szCs w:val="36"/>
        </w:rPr>
      </w:pPr>
    </w:p>
    <w:p w:rsidR="00E333E4" w:rsidRDefault="00E333E4" w:rsidP="00E333E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4:</w:t>
      </w:r>
      <w:r>
        <w:rPr>
          <w:sz w:val="36"/>
          <w:szCs w:val="36"/>
        </w:rPr>
        <w:t xml:space="preserve"> </w:t>
      </w:r>
      <w:r w:rsidR="00F71366">
        <w:rPr>
          <w:b/>
          <w:sz w:val="36"/>
          <w:szCs w:val="36"/>
        </w:rPr>
        <w:t>The “Unprotected” High spenders</w:t>
      </w:r>
    </w:p>
    <w:p w:rsid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 w:rsidRPr="00F71366">
        <w:rPr>
          <w:sz w:val="36"/>
          <w:szCs w:val="36"/>
        </w:rPr>
        <w:t>High-spending new customers (&gt;$75/</w:t>
      </w:r>
      <w:proofErr w:type="spellStart"/>
      <w:r w:rsidRPr="00F71366">
        <w:rPr>
          <w:sz w:val="36"/>
          <w:szCs w:val="36"/>
        </w:rPr>
        <w:t>mo</w:t>
      </w:r>
      <w:proofErr w:type="spellEnd"/>
      <w:r w:rsidRPr="00F71366">
        <w:rPr>
          <w:sz w:val="36"/>
          <w:szCs w:val="36"/>
        </w:rPr>
        <w:t xml:space="preserve">) represent a </w:t>
      </w:r>
      <w:r w:rsidRPr="00F71366">
        <w:rPr>
          <w:b/>
          <w:bCs/>
          <w:sz w:val="36"/>
          <w:szCs w:val="36"/>
        </w:rPr>
        <w:t>"High Value / High Risk"</w:t>
      </w:r>
      <w:r w:rsidRPr="00F71366">
        <w:rPr>
          <w:sz w:val="36"/>
          <w:szCs w:val="36"/>
        </w:rPr>
        <w:t xml:space="preserve"> paradox, churning at a rate of </w:t>
      </w:r>
      <w:r w:rsidRPr="00F71366">
        <w:rPr>
          <w:b/>
          <w:bCs/>
          <w:sz w:val="36"/>
          <w:szCs w:val="36"/>
        </w:rPr>
        <w:t>~70% within the first year</w:t>
      </w:r>
      <w:r w:rsidRPr="00F71366">
        <w:rPr>
          <w:sz w:val="36"/>
          <w:szCs w:val="36"/>
        </w:rPr>
        <w:t xml:space="preserve">.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Spend vs. Churn: </w:t>
      </w:r>
      <w:r>
        <w:rPr>
          <w:sz w:val="36"/>
          <w:szCs w:val="36"/>
        </w:rPr>
        <w:t xml:space="preserve">The high churn correlates linearly with increased spend, indicating this is not a budget issue (lack of funds) but a value realization issue (lack of perceived utility.) </w:t>
      </w:r>
    </w:p>
    <w:p w:rsidR="00F71366" w:rsidRP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The “Stickiness” void: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staggering </w:t>
      </w:r>
      <w:r w:rsidRPr="00F71366">
        <w:rPr>
          <w:b/>
          <w:sz w:val="36"/>
          <w:szCs w:val="36"/>
        </w:rPr>
        <w:t>82%</w:t>
      </w:r>
      <w:r>
        <w:rPr>
          <w:sz w:val="36"/>
          <w:szCs w:val="36"/>
        </w:rPr>
        <w:t xml:space="preserve"> of these high-value users fall into the “Low-Stickiness” zone </w:t>
      </w:r>
      <w:r w:rsidRPr="008F21A1">
        <w:rPr>
          <w:b/>
          <w:sz w:val="36"/>
          <w:szCs w:val="36"/>
        </w:rPr>
        <w:t>(~55% chance of churn)</w:t>
      </w:r>
      <w:r>
        <w:rPr>
          <w:sz w:val="36"/>
          <w:szCs w:val="36"/>
        </w:rPr>
        <w:t xml:space="preserve"> with 0-1 sticky services.</w:t>
      </w:r>
    </w:p>
    <w:p w:rsidR="008F21A1" w:rsidRDefault="008F21A1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 Multiplier:</w:t>
      </w:r>
      <w:r>
        <w:rPr>
          <w:sz w:val="36"/>
          <w:szCs w:val="36"/>
        </w:rPr>
        <w:t xml:space="preserve"> 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Users with</w:t>
      </w:r>
      <w:bookmarkStart w:id="0" w:name="_GoBack"/>
      <w:bookmarkEnd w:id="0"/>
      <w:r>
        <w:rPr>
          <w:sz w:val="36"/>
          <w:szCs w:val="36"/>
        </w:rPr>
        <w:t xml:space="preserve"> </w:t>
      </w:r>
      <w:r>
        <w:rPr>
          <w:b/>
          <w:sz w:val="36"/>
          <w:szCs w:val="36"/>
        </w:rPr>
        <w:t xml:space="preserve">0 stickiness </w:t>
      </w:r>
      <w:r>
        <w:rPr>
          <w:sz w:val="36"/>
          <w:szCs w:val="36"/>
        </w:rPr>
        <w:t xml:space="preserve">churn at </w:t>
      </w:r>
      <w:r>
        <w:rPr>
          <w:b/>
          <w:sz w:val="36"/>
          <w:szCs w:val="36"/>
        </w:rPr>
        <w:t>65%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Adding just </w:t>
      </w:r>
      <w:r>
        <w:rPr>
          <w:b/>
          <w:sz w:val="36"/>
          <w:szCs w:val="36"/>
        </w:rPr>
        <w:t xml:space="preserve">one </w:t>
      </w:r>
      <w:r>
        <w:rPr>
          <w:sz w:val="36"/>
          <w:szCs w:val="36"/>
        </w:rPr>
        <w:t xml:space="preserve">service drops churn to </w:t>
      </w:r>
      <w:r>
        <w:rPr>
          <w:b/>
          <w:sz w:val="36"/>
          <w:szCs w:val="36"/>
        </w:rPr>
        <w:t>46%</w:t>
      </w:r>
    </w:p>
    <w:p w:rsidR="008F21A1" w:rsidRPr="008F21A1" w:rsidRDefault="008F21A1" w:rsidP="008F21A1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are successful</w:t>
      </w:r>
      <w:r w:rsidR="000678A5">
        <w:rPr>
          <w:sz w:val="36"/>
          <w:szCs w:val="36"/>
        </w:rPr>
        <w:t xml:space="preserve">ly upselling them on price, but failing to cross-sell them on </w:t>
      </w:r>
      <w:r w:rsidR="000678A5">
        <w:rPr>
          <w:b/>
          <w:sz w:val="36"/>
          <w:szCs w:val="36"/>
        </w:rPr>
        <w:t xml:space="preserve">Retention Anchors. </w:t>
      </w:r>
      <w:r w:rsidR="000678A5">
        <w:rPr>
          <w:sz w:val="36"/>
          <w:szCs w:val="36"/>
        </w:rPr>
        <w:t xml:space="preserve">We have successfully captured their wallet, but not their loyalty </w:t>
      </w:r>
    </w:p>
    <w:p w:rsidR="00F71366" w:rsidRDefault="00F71366" w:rsidP="00F71366">
      <w:pPr>
        <w:rPr>
          <w:b/>
          <w:sz w:val="36"/>
          <w:szCs w:val="36"/>
        </w:rPr>
      </w:pPr>
    </w:p>
    <w:p w:rsidR="00F71366" w:rsidRPr="00F71366" w:rsidRDefault="00F71366" w:rsidP="00F71366">
      <w:pPr>
        <w:ind w:left="2880"/>
        <w:rPr>
          <w:b/>
          <w:sz w:val="36"/>
          <w:szCs w:val="36"/>
        </w:rPr>
      </w:pPr>
    </w:p>
    <w:p w:rsidR="007104D4" w:rsidRDefault="007104D4" w:rsidP="00E333E4">
      <w:pPr>
        <w:pStyle w:val="ListParagraph"/>
        <w:ind w:left="1440"/>
        <w:rPr>
          <w:sz w:val="36"/>
          <w:szCs w:val="36"/>
        </w:rPr>
      </w:pPr>
    </w:p>
    <w:p w:rsidR="00E333E4" w:rsidRPr="007104D4" w:rsidRDefault="00E333E4" w:rsidP="007104D4">
      <w:pPr>
        <w:rPr>
          <w:sz w:val="36"/>
          <w:szCs w:val="36"/>
        </w:rPr>
      </w:pPr>
    </w:p>
    <w:sectPr w:rsidR="00E333E4" w:rsidRPr="007104D4" w:rsidSect="00CC05E8">
      <w:headerReference w:type="default" r:id="rId24"/>
      <w:headerReference w:type="first" r:id="rId25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9324D" w:rsidRDefault="0059324D" w:rsidP="006660D3">
      <w:pPr>
        <w:spacing w:after="0" w:line="240" w:lineRule="auto"/>
      </w:pPr>
      <w:r>
        <w:separator/>
      </w:r>
    </w:p>
  </w:endnote>
  <w:endnote w:type="continuationSeparator" w:id="0">
    <w:p w:rsidR="0059324D" w:rsidRDefault="0059324D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9324D" w:rsidRDefault="0059324D" w:rsidP="006660D3">
      <w:pPr>
        <w:spacing w:after="0" w:line="240" w:lineRule="auto"/>
      </w:pPr>
      <w:r>
        <w:separator/>
      </w:r>
    </w:p>
  </w:footnote>
  <w:footnote w:type="continuationSeparator" w:id="0">
    <w:p w:rsidR="0059324D" w:rsidRDefault="0059324D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5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26AEC"/>
    <w:rsid w:val="00034FF3"/>
    <w:rsid w:val="000456DE"/>
    <w:rsid w:val="000678A5"/>
    <w:rsid w:val="00121862"/>
    <w:rsid w:val="00142652"/>
    <w:rsid w:val="00205041"/>
    <w:rsid w:val="00222A67"/>
    <w:rsid w:val="003324FA"/>
    <w:rsid w:val="005872F3"/>
    <w:rsid w:val="0059324D"/>
    <w:rsid w:val="00600F51"/>
    <w:rsid w:val="006660D3"/>
    <w:rsid w:val="006B4665"/>
    <w:rsid w:val="007104D4"/>
    <w:rsid w:val="00795BDE"/>
    <w:rsid w:val="008C0C43"/>
    <w:rsid w:val="008D0C7F"/>
    <w:rsid w:val="008F21A1"/>
    <w:rsid w:val="008F5147"/>
    <w:rsid w:val="009054F2"/>
    <w:rsid w:val="0091324D"/>
    <w:rsid w:val="00976FBA"/>
    <w:rsid w:val="00AF63EF"/>
    <w:rsid w:val="00AF7FFE"/>
    <w:rsid w:val="00C446BB"/>
    <w:rsid w:val="00CC05E8"/>
    <w:rsid w:val="00CE30B7"/>
    <w:rsid w:val="00D31031"/>
    <w:rsid w:val="00D3193A"/>
    <w:rsid w:val="00D75467"/>
    <w:rsid w:val="00E333E4"/>
    <w:rsid w:val="00E74AB3"/>
    <w:rsid w:val="00E77A27"/>
    <w:rsid w:val="00EA17A5"/>
    <w:rsid w:val="00EC12B1"/>
    <w:rsid w:val="00F477C1"/>
    <w:rsid w:val="00F71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2D777-17FC-453B-8B3A-27D052E5A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16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15</cp:revision>
  <dcterms:created xsi:type="dcterms:W3CDTF">2026-01-07T07:49:00Z</dcterms:created>
  <dcterms:modified xsi:type="dcterms:W3CDTF">2026-01-13T05:46:00Z</dcterms:modified>
</cp:coreProperties>
</file>