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32479A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>Review and refine block, use-case, and sequence diagrams.</w:t>
            </w:r>
          </w:p>
          <w:p w14:paraId="405EDCFA" w14:textId="2477374F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>Discuss whether diagrams clearly represent system functionality.</w:t>
            </w:r>
          </w:p>
          <w:p w14:paraId="12503DB6" w14:textId="4556B6AE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>Align diagrams with the defended concept and panel feedback.</w:t>
            </w:r>
          </w:p>
          <w:p w14:paraId="2B5C2F42" w14:textId="026DAC37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>Discuss how these diagrams guide the implementation phase and finalize design-phase material for submission.</w:t>
            </w:r>
          </w:p>
          <w:p w14:paraId="05A597B4" w14:textId="77777777" w:rsidR="001D6FD1" w:rsidRPr="006A2C2C" w:rsidRDefault="001D6FD1" w:rsidP="008D2EE8">
            <w:pPr>
              <w:pStyle w:val="NoSpacing"/>
              <w:ind w:left="720"/>
              <w:rPr>
                <w:b/>
                <w:sz w:val="24"/>
                <w:szCs w:val="24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