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89" w:rsidRPr="00B91889" w:rsidRDefault="00B91889" w:rsidP="00B91889">
      <w:pPr>
        <w:spacing w:before="100" w:beforeAutospacing="1" w:after="100" w:afterAutospacing="1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</w:pPr>
      <w:bookmarkStart w:id="0" w:name="_GoBack"/>
      <w:bookmarkEnd w:id="0"/>
      <w:r w:rsidRPr="00B91889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AVANCE Y TECNOLOGIA EN PLASTICO</w:t>
      </w:r>
      <w:r w:rsidR="0037276D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S</w:t>
      </w:r>
      <w:r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 xml:space="preserve"> CHIHUAHUA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Datos de facturación:</w:t>
      </w:r>
    </w:p>
    <w:p w:rsidR="000F0FA8" w:rsidRPr="000F0FA8" w:rsidRDefault="00B91889" w:rsidP="00D43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>nombre completo (persona interesada)</w:t>
      </w:r>
      <w:r w:rsidR="00670724"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Default="00B91889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nombre de la empresa o negocio (local</w:t>
      </w:r>
      <w:r w:rsidR="000F0FA8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)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 </w:t>
      </w:r>
    </w:p>
    <w:p w:rsidR="007A322A" w:rsidRPr="009F76D6" w:rsidRDefault="00D43135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a nombre de quien se 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facturaría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dirección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colonia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población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código postal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teléfono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7A322A" w:rsidRPr="009F76D6" w:rsidRDefault="009F76D6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>
        <w:rPr>
          <w:rFonts w:ascii="Franklin Gothic Book" w:eastAsia="Times New Roman" w:hAnsi="Franklin Gothic Book" w:cs="Times New Roman"/>
          <w:bCs/>
          <w:sz w:val="20"/>
          <w:lang w:eastAsia="es-MX"/>
        </w:rPr>
        <w:t>Celular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RFC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B91889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e-mail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encargado de compras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atención a pagos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como se entero de nosotros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equipo que maneja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(</w:t>
      </w:r>
      <w:r w:rsidR="006E273D" w:rsidRPr="006E273D">
        <w:rPr>
          <w:rFonts w:ascii="Franklin Gothic Book" w:eastAsia="Times New Roman" w:hAnsi="Franklin Gothic Book" w:cs="Times New Roman"/>
          <w:bCs/>
          <w:sz w:val="20"/>
          <w:u w:val="single"/>
          <w:lang w:eastAsia="es-MX"/>
        </w:rPr>
        <w:t>importante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>)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giro de su empresa</w:t>
      </w:r>
      <w:r w:rsidR="00670724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Cuentas Bancarias:</w:t>
      </w:r>
    </w:p>
    <w:p w:rsidR="00B91889" w:rsidRPr="00B91889" w:rsidRDefault="0037276D" w:rsidP="0037276D">
      <w:pPr>
        <w:tabs>
          <w:tab w:val="left" w:pos="1830"/>
        </w:tabs>
        <w:spacing w:after="0" w:line="240" w:lineRule="auto"/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</w:pPr>
      <w:r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  <w:tab/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Los cheques y/o depósitos a nombre de: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  <w:t>Avance y Tecnología y Plástico, S.A. de  C.V.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Se aceptan pagos con tarjeta de crédito y debito.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sz w:val="20"/>
          <w:lang w:eastAsia="es-MX"/>
        </w:rPr>
        <w:t> 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2126"/>
      </w:tblGrid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0442666073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 transf. 012150004426660735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HSBC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128-301462-1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p/transf. 021150012830146213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Banamex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suc. 4305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 Dlls.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 0442666065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Banorte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198-023-159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Santander Serfin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65174302218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</w:tbl>
    <w:p w:rsidR="00276119" w:rsidRDefault="00276119"/>
    <w:sectPr w:rsidR="00276119" w:rsidSect="00276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52A28"/>
    <w:multiLevelType w:val="multilevel"/>
    <w:tmpl w:val="40E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89"/>
    <w:rsid w:val="000A72C3"/>
    <w:rsid w:val="000F0FA8"/>
    <w:rsid w:val="00222CD3"/>
    <w:rsid w:val="002501CE"/>
    <w:rsid w:val="00276119"/>
    <w:rsid w:val="0037276D"/>
    <w:rsid w:val="0046005A"/>
    <w:rsid w:val="00557988"/>
    <w:rsid w:val="00563430"/>
    <w:rsid w:val="005A7112"/>
    <w:rsid w:val="00670724"/>
    <w:rsid w:val="006C761F"/>
    <w:rsid w:val="006E273D"/>
    <w:rsid w:val="007A322A"/>
    <w:rsid w:val="007F0456"/>
    <w:rsid w:val="008D7938"/>
    <w:rsid w:val="00994984"/>
    <w:rsid w:val="009F76D6"/>
    <w:rsid w:val="00A56BC0"/>
    <w:rsid w:val="00B91889"/>
    <w:rsid w:val="00C37595"/>
    <w:rsid w:val="00D43135"/>
    <w:rsid w:val="00DE1BC1"/>
    <w:rsid w:val="00F33466"/>
    <w:rsid w:val="00F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93CA5-A5B4-4285-8218-674951C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1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Leslie Esparza</cp:lastModifiedBy>
  <cp:revision>2</cp:revision>
  <dcterms:created xsi:type="dcterms:W3CDTF">2016-02-15T16:38:00Z</dcterms:created>
  <dcterms:modified xsi:type="dcterms:W3CDTF">2016-02-15T16:38:00Z</dcterms:modified>
</cp:coreProperties>
</file>