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rPr>
          <w:rFonts w:ascii="Times New Roman"/>
          <w:sz w:val="5"/>
        </w:rPr>
      </w:pPr>
    </w:p>
    <w:p>
      <w:pPr>
        <w:pStyle w:val="BodyText"/>
        <w:spacing w:line="20" w:lineRule="exact"/>
        <w:ind w:left="212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15.3pt;height:.75pt;mso-position-horizontal-relative:char;mso-position-vertical-relative:line" coordorigin="0,0" coordsize="8306,15">
            <v:line style="position:absolute" from="0,7" to="8306,7" stroked="true" strokeweight=".72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spacing w:before="0"/>
        <w:ind w:left="4379" w:right="0" w:firstLine="0"/>
        <w:jc w:val="left"/>
        <w:rPr>
          <w:rFonts w:ascii="华文仿宋" w:eastAsia="华文仿宋" w:hint="eastAsia"/>
          <w:sz w:val="21"/>
        </w:rPr>
      </w:pPr>
      <w:r>
        <w:rPr>
          <w:rFonts w:ascii="华文仿宋" w:eastAsia="华文仿宋" w:hint="eastAsia"/>
          <w:spacing w:val="-22"/>
          <w:w w:val="99"/>
          <w:sz w:val="21"/>
        </w:rPr>
        <w:t>项目编号：</w:t>
      </w:r>
      <w:r>
        <w:rPr>
          <w:rFonts w:ascii="华文仿宋" w:eastAsia="华文仿宋" w:hint="eastAsia"/>
          <w:spacing w:val="2"/>
          <w:w w:val="99"/>
          <w:sz w:val="21"/>
          <w:u w:val="single"/>
        </w:rPr>
        <w:t>（</w:t>
      </w:r>
      <w:r>
        <w:rPr>
          <w:rFonts w:ascii="华文仿宋" w:eastAsia="华文仿宋" w:hint="eastAsia"/>
          <w:spacing w:val="-1"/>
          <w:w w:val="99"/>
          <w:sz w:val="21"/>
          <w:u w:val="single"/>
        </w:rPr>
        <w:t>D</w:t>
      </w:r>
      <w:r>
        <w:rPr>
          <w:rFonts w:ascii="华文仿宋" w:eastAsia="华文仿宋" w:hint="eastAsia"/>
          <w:w w:val="99"/>
          <w:sz w:val="21"/>
          <w:u w:val="single"/>
        </w:rPr>
        <w:t>J</w:t>
      </w:r>
      <w:r>
        <w:rPr>
          <w:rFonts w:ascii="华文仿宋" w:eastAsia="华文仿宋" w:hint="eastAsia"/>
          <w:spacing w:val="-1"/>
          <w:w w:val="99"/>
          <w:sz w:val="21"/>
          <w:u w:val="single"/>
        </w:rPr>
        <w:t>C</w:t>
      </w:r>
      <w:r>
        <w:rPr>
          <w:rFonts w:ascii="华文仿宋" w:eastAsia="华文仿宋" w:hint="eastAsia"/>
          <w:spacing w:val="2"/>
          <w:w w:val="99"/>
          <w:sz w:val="21"/>
          <w:u w:val="single"/>
        </w:rPr>
        <w:t>P</w:t>
      </w:r>
      <w:r>
        <w:rPr>
          <w:rFonts w:ascii="华文仿宋" w:eastAsia="华文仿宋" w:hint="eastAsia"/>
          <w:w w:val="99"/>
          <w:sz w:val="21"/>
          <w:u w:val="single"/>
        </w:rPr>
        <w:t>2019110XXX</w:t>
      </w:r>
      <w:r>
        <w:rPr>
          <w:rFonts w:ascii="华文仿宋" w:eastAsia="华文仿宋" w:hint="eastAsia"/>
          <w:spacing w:val="2"/>
          <w:w w:val="99"/>
          <w:sz w:val="21"/>
          <w:u w:val="single"/>
        </w:rPr>
        <w:t>）</w:t>
      </w:r>
      <w:r>
        <w:rPr>
          <w:rFonts w:ascii="华文仿宋" w:eastAsia="华文仿宋" w:hint="eastAsia"/>
          <w:spacing w:val="-1"/>
          <w:w w:val="99"/>
          <w:sz w:val="21"/>
          <w:u w:val="single"/>
        </w:rPr>
        <w:t>-</w:t>
      </w:r>
      <w:r>
        <w:rPr>
          <w:rFonts w:ascii="华文仿宋" w:eastAsia="华文仿宋" w:hint="eastAsia"/>
          <w:w w:val="99"/>
          <w:sz w:val="21"/>
          <w:u w:val="single"/>
        </w:rPr>
        <w:t>XXXXX</w:t>
      </w:r>
    </w:p>
    <w:p>
      <w:pPr>
        <w:spacing w:before="1"/>
        <w:ind w:left="3235" w:right="3235" w:firstLine="0"/>
        <w:jc w:val="center"/>
        <w:rPr>
          <w:rFonts w:ascii="微软雅黑" w:eastAsia="微软雅黑" w:hint="eastAsia"/>
          <w:b/>
          <w:sz w:val="32"/>
        </w:rPr>
      </w:pPr>
      <w:r>
        <w:rPr>
          <w:rFonts w:ascii="微软雅黑" w:eastAsia="微软雅黑" w:hint="eastAsia"/>
          <w:b/>
          <w:sz w:val="32"/>
        </w:rPr>
        <w:t>测评风险告知书</w:t>
      </w:r>
    </w:p>
    <w:p>
      <w:pPr>
        <w:pStyle w:val="BodyText"/>
        <w:spacing w:line="364" w:lineRule="auto" w:before="99"/>
        <w:ind w:left="220" w:right="217" w:firstLine="480"/>
        <w:jc w:val="both"/>
      </w:pPr>
      <w:r>
        <w:rPr>
          <w:spacing w:val="-10"/>
        </w:rPr>
        <w:t>在现场测评时，需要对设备和系统进行一定的验证测试工作，部分测试内容</w:t>
      </w:r>
      <w:r>
        <w:rPr>
          <w:spacing w:val="-7"/>
        </w:rPr>
        <w:t>需要上机验证并查看一些信息，这就可能对系统运行造成一定的影响，甚至存在</w:t>
      </w:r>
      <w:r>
        <w:rPr/>
        <w:t>误操作的可能。</w:t>
      </w:r>
    </w:p>
    <w:p>
      <w:pPr>
        <w:pStyle w:val="BodyText"/>
        <w:spacing w:line="364" w:lineRule="auto" w:before="2"/>
        <w:ind w:left="220" w:right="217" w:firstLine="480"/>
        <w:jc w:val="both"/>
      </w:pPr>
      <w:r>
        <w:rPr>
          <w:spacing w:val="-7"/>
        </w:rPr>
        <w:t>使用测试工具进行漏洞扫描测试、性能测试及渗透测试等，可能会对网络和</w:t>
      </w:r>
      <w:r>
        <w:rPr>
          <w:spacing w:val="-9"/>
        </w:rPr>
        <w:t>系统的负载造成一定的影响，渗透性攻击测试还可能影响到服务器和系统正常运</w:t>
      </w:r>
      <w:r>
        <w:rPr/>
        <w:t>行，如出现重启、服务中断、渗透过程中植入的代码未完全清理等现象。</w:t>
      </w:r>
    </w:p>
    <w:p>
      <w:pPr>
        <w:pStyle w:val="BodyText"/>
        <w:spacing w:before="1"/>
        <w:ind w:left="700"/>
      </w:pPr>
      <w:r>
        <w:rPr/>
        <w:t>具体测评中面临的安全风险如下表所示：</w:t>
      </w:r>
    </w:p>
    <w:p>
      <w:pPr>
        <w:pStyle w:val="BodyText"/>
        <w:spacing w:before="12"/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7"/>
        <w:gridCol w:w="2286"/>
        <w:gridCol w:w="1127"/>
        <w:gridCol w:w="3462"/>
      </w:tblGrid>
      <w:tr>
        <w:trPr>
          <w:trHeight w:val="467" w:hRule="atLeast"/>
        </w:trPr>
        <w:tc>
          <w:tcPr>
            <w:tcW w:w="1647" w:type="dxa"/>
            <w:shd w:val="clear" w:color="auto" w:fill="C0C0C0"/>
          </w:tcPr>
          <w:p>
            <w:pPr>
              <w:pStyle w:val="TableParagraph"/>
              <w:spacing w:before="99"/>
              <w:ind w:left="170" w:right="164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内容</w:t>
            </w:r>
          </w:p>
        </w:tc>
        <w:tc>
          <w:tcPr>
            <w:tcW w:w="2286" w:type="dxa"/>
            <w:shd w:val="clear" w:color="auto" w:fill="C0C0C0"/>
          </w:tcPr>
          <w:p>
            <w:pPr>
              <w:pStyle w:val="TableParagraph"/>
              <w:spacing w:before="99"/>
              <w:ind w:left="407"/>
              <w:rPr>
                <w:b/>
                <w:sz w:val="21"/>
              </w:rPr>
            </w:pPr>
            <w:r>
              <w:rPr>
                <w:b/>
                <w:sz w:val="21"/>
              </w:rPr>
              <w:t>可能存在的风险</w:t>
            </w:r>
          </w:p>
        </w:tc>
        <w:tc>
          <w:tcPr>
            <w:tcW w:w="1127" w:type="dxa"/>
            <w:shd w:val="clear" w:color="auto" w:fill="C0C0C0"/>
          </w:tcPr>
          <w:p>
            <w:pPr>
              <w:pStyle w:val="TableParagraph"/>
              <w:spacing w:before="99"/>
              <w:ind w:left="121" w:right="11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风险等级</w:t>
            </w:r>
          </w:p>
        </w:tc>
        <w:tc>
          <w:tcPr>
            <w:tcW w:w="3462" w:type="dxa"/>
            <w:shd w:val="clear" w:color="auto" w:fill="C0C0C0"/>
          </w:tcPr>
          <w:p>
            <w:pPr>
              <w:pStyle w:val="TableParagraph"/>
              <w:spacing w:before="99"/>
              <w:ind w:left="1291" w:right="127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控制措施</w:t>
            </w:r>
          </w:p>
        </w:tc>
      </w:tr>
      <w:tr>
        <w:trPr>
          <w:trHeight w:val="936" w:hRule="atLeast"/>
        </w:trPr>
        <w:tc>
          <w:tcPr>
            <w:tcW w:w="1647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ind w:left="170" w:right="166"/>
              <w:jc w:val="center"/>
              <w:rPr>
                <w:sz w:val="21"/>
              </w:rPr>
            </w:pPr>
            <w:r>
              <w:rPr>
                <w:sz w:val="21"/>
              </w:rPr>
              <w:t>信息资产调研</w:t>
            </w:r>
          </w:p>
        </w:tc>
        <w:tc>
          <w:tcPr>
            <w:tcW w:w="2286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资产信息泄漏</w:t>
            </w:r>
          </w:p>
        </w:tc>
        <w:tc>
          <w:tcPr>
            <w:tcW w:w="1127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ind w:left="9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高</w:t>
            </w:r>
          </w:p>
        </w:tc>
        <w:tc>
          <w:tcPr>
            <w:tcW w:w="3462" w:type="dxa"/>
          </w:tcPr>
          <w:p>
            <w:pPr>
              <w:pStyle w:val="TableParagraph"/>
              <w:spacing w:before="98"/>
              <w:ind w:left="106"/>
              <w:rPr>
                <w:sz w:val="21"/>
              </w:rPr>
            </w:pPr>
            <w:r>
              <w:rPr>
                <w:sz w:val="21"/>
              </w:rPr>
              <w:t>保密协议、规章、制度、法律、法</w:t>
            </w: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06"/>
              <w:rPr>
                <w:sz w:val="21"/>
              </w:rPr>
            </w:pPr>
            <w:r>
              <w:rPr>
                <w:w w:val="99"/>
                <w:sz w:val="21"/>
              </w:rPr>
              <w:t>规</w:t>
            </w:r>
          </w:p>
        </w:tc>
      </w:tr>
      <w:tr>
        <w:trPr>
          <w:trHeight w:val="935" w:hRule="atLeast"/>
        </w:trPr>
        <w:tc>
          <w:tcPr>
            <w:tcW w:w="1647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ind w:left="170" w:right="166"/>
              <w:jc w:val="center"/>
              <w:rPr>
                <w:sz w:val="21"/>
              </w:rPr>
            </w:pPr>
            <w:r>
              <w:rPr>
                <w:sz w:val="21"/>
              </w:rPr>
              <w:t>安全管理测评</w:t>
            </w:r>
          </w:p>
        </w:tc>
        <w:tc>
          <w:tcPr>
            <w:tcW w:w="2286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安全管理信息泄漏</w:t>
            </w:r>
          </w:p>
        </w:tc>
        <w:tc>
          <w:tcPr>
            <w:tcW w:w="1127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ind w:left="9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高</w:t>
            </w:r>
          </w:p>
        </w:tc>
        <w:tc>
          <w:tcPr>
            <w:tcW w:w="3462" w:type="dxa"/>
          </w:tcPr>
          <w:p>
            <w:pPr>
              <w:pStyle w:val="TableParagraph"/>
              <w:spacing w:before="98"/>
              <w:ind w:left="106"/>
              <w:rPr>
                <w:sz w:val="21"/>
              </w:rPr>
            </w:pPr>
            <w:r>
              <w:rPr>
                <w:sz w:val="21"/>
              </w:rPr>
              <w:t>合同、保密协议、规章、制度、法</w:t>
            </w:r>
          </w:p>
          <w:p>
            <w:pPr>
              <w:pStyle w:val="TableParagraph"/>
              <w:spacing w:before="6"/>
              <w:rPr>
                <w:sz w:val="15"/>
              </w:rPr>
            </w:pPr>
          </w:p>
          <w:p>
            <w:pPr>
              <w:pStyle w:val="TableParagraph"/>
              <w:ind w:left="106"/>
              <w:rPr>
                <w:sz w:val="21"/>
              </w:rPr>
            </w:pPr>
            <w:r>
              <w:rPr>
                <w:sz w:val="21"/>
              </w:rPr>
              <w:t>律、法规</w:t>
            </w:r>
          </w:p>
        </w:tc>
      </w:tr>
      <w:tr>
        <w:trPr>
          <w:trHeight w:val="3744" w:hRule="atLeast"/>
        </w:trPr>
        <w:tc>
          <w:tcPr>
            <w:tcW w:w="1647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spacing w:line="417" w:lineRule="auto"/>
              <w:ind w:left="191" w:right="129" w:hanging="51"/>
              <w:rPr>
                <w:sz w:val="21"/>
              </w:rPr>
            </w:pPr>
            <w:r>
              <w:rPr>
                <w:sz w:val="21"/>
              </w:rPr>
              <w:t>网络设备测评/ 安全设备测评</w:t>
            </w:r>
          </w:p>
        </w:tc>
        <w:tc>
          <w:tcPr>
            <w:tcW w:w="2286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17"/>
              </w:rPr>
            </w:pPr>
          </w:p>
          <w:p>
            <w:pPr>
              <w:pStyle w:val="TableParagraph"/>
              <w:spacing w:line="417" w:lineRule="auto" w:before="1"/>
              <w:ind w:left="107" w:right="97"/>
              <w:rPr>
                <w:sz w:val="21"/>
              </w:rPr>
            </w:pPr>
            <w:r>
              <w:rPr>
                <w:sz w:val="21"/>
              </w:rPr>
              <w:t>误操作引起设备崩溃或数据丢失、损坏</w:t>
            </w:r>
          </w:p>
        </w:tc>
        <w:tc>
          <w:tcPr>
            <w:tcW w:w="1127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9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高</w:t>
            </w:r>
          </w:p>
        </w:tc>
        <w:tc>
          <w:tcPr>
            <w:tcW w:w="3462" w:type="dxa"/>
          </w:tcPr>
          <w:p>
            <w:pPr>
              <w:pStyle w:val="TableParagraph"/>
              <w:spacing w:line="417" w:lineRule="auto" w:before="100"/>
              <w:ind w:left="106" w:right="98"/>
              <w:jc w:val="both"/>
              <w:rPr>
                <w:sz w:val="21"/>
              </w:rPr>
            </w:pPr>
            <w:r>
              <w:rPr>
                <w:w w:val="95"/>
                <w:sz w:val="21"/>
              </w:rPr>
              <w:t>测评人员不进行上机操作，修改策略，由被测评单位配合人员进行操</w:t>
            </w:r>
            <w:r>
              <w:rPr>
                <w:sz w:val="21"/>
              </w:rPr>
              <w:t>作。</w:t>
            </w:r>
          </w:p>
          <w:p>
            <w:pPr>
              <w:pStyle w:val="TableParagraph"/>
              <w:spacing w:line="417" w:lineRule="auto"/>
              <w:ind w:left="106" w:right="1662"/>
              <w:rPr>
                <w:sz w:val="21"/>
              </w:rPr>
            </w:pPr>
            <w:r>
              <w:rPr>
                <w:sz w:val="21"/>
              </w:rPr>
              <w:t>规范测评流程； </w:t>
            </w:r>
            <w:r>
              <w:rPr>
                <w:spacing w:val="-2"/>
                <w:sz w:val="21"/>
              </w:rPr>
              <w:t>严格选择测评师；</w:t>
            </w:r>
          </w:p>
          <w:p>
            <w:pPr>
              <w:pStyle w:val="TableParagraph"/>
              <w:spacing w:line="417" w:lineRule="auto"/>
              <w:ind w:left="106" w:right="1034"/>
              <w:rPr>
                <w:sz w:val="21"/>
              </w:rPr>
            </w:pPr>
            <w:r>
              <w:rPr>
                <w:spacing w:val="-2"/>
                <w:sz w:val="21"/>
              </w:rPr>
              <w:t>签署《现场测评授权书》</w:t>
            </w:r>
            <w:r>
              <w:rPr>
                <w:sz w:val="21"/>
              </w:rPr>
              <w:t>甲方进行全程监控；</w:t>
            </w:r>
          </w:p>
          <w:p>
            <w:pPr>
              <w:pStyle w:val="TableParagraph"/>
              <w:spacing w:line="269" w:lineRule="exact"/>
              <w:ind w:left="106"/>
              <w:rPr>
                <w:sz w:val="21"/>
              </w:rPr>
            </w:pPr>
            <w:r>
              <w:rPr>
                <w:w w:val="95"/>
                <w:sz w:val="21"/>
              </w:rPr>
              <w:t>制定可能的恢复计划</w:t>
            </w:r>
          </w:p>
        </w:tc>
      </w:tr>
      <w:tr>
        <w:trPr>
          <w:trHeight w:val="936" w:hRule="atLeast"/>
        </w:trPr>
        <w:tc>
          <w:tcPr>
            <w:tcW w:w="16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86" w:type="dxa"/>
          </w:tcPr>
          <w:p>
            <w:pPr>
              <w:pStyle w:val="TableParagraph"/>
              <w:spacing w:before="99"/>
              <w:ind w:left="107"/>
              <w:rPr>
                <w:sz w:val="21"/>
              </w:rPr>
            </w:pPr>
            <w:r>
              <w:rPr>
                <w:sz w:val="21"/>
              </w:rPr>
              <w:t>网络/安全设备资源占</w:t>
            </w: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07"/>
              <w:rPr>
                <w:sz w:val="21"/>
              </w:rPr>
            </w:pPr>
            <w:r>
              <w:rPr>
                <w:w w:val="99"/>
                <w:sz w:val="21"/>
              </w:rPr>
              <w:t>用</w:t>
            </w:r>
          </w:p>
        </w:tc>
        <w:tc>
          <w:tcPr>
            <w:tcW w:w="1127" w:type="dxa"/>
          </w:tcPr>
          <w:p>
            <w:pPr>
              <w:pStyle w:val="TableParagraph"/>
              <w:spacing w:before="12"/>
              <w:rPr>
                <w:sz w:val="25"/>
              </w:rPr>
            </w:pPr>
          </w:p>
          <w:p>
            <w:pPr>
              <w:pStyle w:val="TableParagraph"/>
              <w:ind w:left="9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低</w:t>
            </w:r>
          </w:p>
        </w:tc>
        <w:tc>
          <w:tcPr>
            <w:tcW w:w="3462" w:type="dxa"/>
          </w:tcPr>
          <w:p>
            <w:pPr>
              <w:pStyle w:val="TableParagraph"/>
              <w:spacing w:before="99"/>
              <w:ind w:left="106"/>
              <w:rPr>
                <w:sz w:val="21"/>
              </w:rPr>
            </w:pPr>
            <w:r>
              <w:rPr>
                <w:sz w:val="21"/>
              </w:rPr>
              <w:t>避开业务高峰；</w:t>
            </w: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06"/>
              <w:rPr>
                <w:sz w:val="21"/>
              </w:rPr>
            </w:pPr>
            <w:r>
              <w:rPr>
                <w:sz w:val="21"/>
              </w:rPr>
              <w:t>控制扫描策略（线程数量、强度）</w:t>
            </w:r>
          </w:p>
        </w:tc>
      </w:tr>
      <w:tr>
        <w:trPr>
          <w:trHeight w:val="935" w:hRule="atLeast"/>
        </w:trPr>
        <w:tc>
          <w:tcPr>
            <w:tcW w:w="1647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spacing w:line="417" w:lineRule="auto"/>
              <w:ind w:left="611" w:right="132" w:hanging="471"/>
              <w:rPr>
                <w:sz w:val="21"/>
              </w:rPr>
            </w:pPr>
            <w:r>
              <w:rPr>
                <w:sz w:val="21"/>
              </w:rPr>
              <w:t>漏洞扫描/渗透测试</w:t>
            </w:r>
          </w:p>
        </w:tc>
        <w:tc>
          <w:tcPr>
            <w:tcW w:w="2286" w:type="dxa"/>
          </w:tcPr>
          <w:p>
            <w:pPr>
              <w:pStyle w:val="TableParagraph"/>
              <w:spacing w:before="11"/>
              <w:rPr>
                <w:sz w:val="25"/>
              </w:rPr>
            </w:pPr>
          </w:p>
          <w:p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网络流量</w:t>
            </w:r>
          </w:p>
        </w:tc>
        <w:tc>
          <w:tcPr>
            <w:tcW w:w="1127" w:type="dxa"/>
          </w:tcPr>
          <w:p>
            <w:pPr>
              <w:pStyle w:val="TableParagraph"/>
              <w:spacing w:before="11"/>
              <w:rPr>
                <w:sz w:val="25"/>
              </w:rPr>
            </w:pPr>
          </w:p>
          <w:p>
            <w:pPr>
              <w:pStyle w:val="TableParagraph"/>
              <w:ind w:left="9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低</w:t>
            </w:r>
          </w:p>
        </w:tc>
        <w:tc>
          <w:tcPr>
            <w:tcW w:w="3462" w:type="dxa"/>
          </w:tcPr>
          <w:p>
            <w:pPr>
              <w:pStyle w:val="TableParagraph"/>
              <w:spacing w:before="99"/>
              <w:ind w:left="106"/>
              <w:rPr>
                <w:sz w:val="21"/>
              </w:rPr>
            </w:pPr>
            <w:r>
              <w:rPr>
                <w:sz w:val="21"/>
              </w:rPr>
              <w:t>避开业务高峰；</w:t>
            </w:r>
          </w:p>
          <w:p>
            <w:pPr>
              <w:pStyle w:val="TableParagraph"/>
              <w:spacing w:before="6"/>
              <w:rPr>
                <w:sz w:val="15"/>
              </w:rPr>
            </w:pPr>
          </w:p>
          <w:p>
            <w:pPr>
              <w:pStyle w:val="TableParagraph"/>
              <w:spacing w:before="1"/>
              <w:ind w:left="106"/>
              <w:rPr>
                <w:sz w:val="21"/>
              </w:rPr>
            </w:pPr>
            <w:r>
              <w:rPr>
                <w:sz w:val="21"/>
              </w:rPr>
              <w:t>控制扫描策略（线程数量、强度）</w:t>
            </w:r>
          </w:p>
        </w:tc>
      </w:tr>
      <w:tr>
        <w:trPr>
          <w:trHeight w:val="934" w:hRule="atLeast"/>
        </w:trPr>
        <w:tc>
          <w:tcPr>
            <w:tcW w:w="16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86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"/>
              <w:ind w:left="107"/>
              <w:rPr>
                <w:sz w:val="21"/>
              </w:rPr>
            </w:pPr>
            <w:r>
              <w:rPr>
                <w:sz w:val="21"/>
              </w:rPr>
              <w:t>主机资源占用</w:t>
            </w:r>
          </w:p>
        </w:tc>
        <w:tc>
          <w:tcPr>
            <w:tcW w:w="1127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"/>
              <w:ind w:left="9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低</w:t>
            </w:r>
          </w:p>
        </w:tc>
        <w:tc>
          <w:tcPr>
            <w:tcW w:w="3462" w:type="dxa"/>
          </w:tcPr>
          <w:p>
            <w:pPr>
              <w:pStyle w:val="TableParagraph"/>
              <w:spacing w:before="99"/>
              <w:ind w:left="106"/>
              <w:rPr>
                <w:sz w:val="21"/>
              </w:rPr>
            </w:pPr>
            <w:r>
              <w:rPr>
                <w:sz w:val="21"/>
              </w:rPr>
              <w:t>避开业务高峰；</w:t>
            </w:r>
          </w:p>
          <w:p>
            <w:pPr>
              <w:pStyle w:val="TableParagraph"/>
              <w:spacing w:before="6"/>
              <w:rPr>
                <w:sz w:val="15"/>
              </w:rPr>
            </w:pPr>
          </w:p>
          <w:p>
            <w:pPr>
              <w:pStyle w:val="TableParagraph"/>
              <w:ind w:left="106"/>
              <w:rPr>
                <w:sz w:val="21"/>
              </w:rPr>
            </w:pPr>
            <w:r>
              <w:rPr>
                <w:sz w:val="21"/>
              </w:rPr>
              <w:t>控制扫描策略（线程数量、强度）</w:t>
            </w:r>
          </w:p>
        </w:tc>
      </w:tr>
    </w:tbl>
    <w:p>
      <w:pPr>
        <w:spacing w:after="0"/>
        <w:rPr>
          <w:sz w:val="21"/>
        </w:rPr>
        <w:sectPr>
          <w:headerReference w:type="default" r:id="rId5"/>
          <w:type w:val="continuous"/>
          <w:pgSz w:w="11910" w:h="16840"/>
          <w:pgMar w:header="1169" w:top="1460" w:bottom="280" w:left="1580" w:right="1580"/>
        </w:sectPr>
      </w:pPr>
    </w:p>
    <w:p>
      <w:pPr>
        <w:pStyle w:val="BodyText"/>
        <w:spacing w:before="11"/>
        <w:rPr>
          <w:sz w:val="4"/>
        </w:rPr>
      </w:pPr>
    </w:p>
    <w:tbl>
      <w:tblPr>
        <w:tblW w:w="0" w:type="auto"/>
        <w:jc w:val="left"/>
        <w:tblInd w:w="11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7"/>
        <w:gridCol w:w="2286"/>
        <w:gridCol w:w="1127"/>
        <w:gridCol w:w="3462"/>
      </w:tblGrid>
      <w:tr>
        <w:trPr>
          <w:trHeight w:val="465" w:hRule="atLeast"/>
        </w:trPr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before="97"/>
              <w:ind w:left="170" w:right="164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内容</w:t>
            </w:r>
          </w:p>
        </w:tc>
        <w:tc>
          <w:tcPr>
            <w:tcW w:w="22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before="97"/>
              <w:ind w:left="407"/>
              <w:rPr>
                <w:b/>
                <w:sz w:val="21"/>
              </w:rPr>
            </w:pPr>
            <w:r>
              <w:rPr>
                <w:b/>
                <w:sz w:val="21"/>
              </w:rPr>
              <w:t>可能存在的风险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before="97"/>
              <w:ind w:left="121" w:right="11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风险等级</w:t>
            </w:r>
          </w:p>
        </w:tc>
        <w:tc>
          <w:tcPr>
            <w:tcW w:w="34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before="97"/>
              <w:ind w:left="1291" w:right="127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控制措施</w:t>
            </w:r>
          </w:p>
        </w:tc>
      </w:tr>
      <w:tr>
        <w:trPr>
          <w:trHeight w:val="467" w:hRule="atLeast"/>
        </w:trPr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8"/>
              <w:ind w:left="107"/>
              <w:rPr>
                <w:sz w:val="21"/>
              </w:rPr>
            </w:pPr>
            <w:r>
              <w:rPr>
                <w:sz w:val="21"/>
              </w:rPr>
              <w:t>设备死机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8"/>
              <w:ind w:left="9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高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8"/>
              <w:ind w:left="106"/>
              <w:rPr>
                <w:sz w:val="21"/>
              </w:rPr>
            </w:pPr>
            <w:r>
              <w:rPr>
                <w:sz w:val="21"/>
              </w:rPr>
              <w:t>提前进行数据备份，制定恢复策略</w:t>
            </w:r>
          </w:p>
        </w:tc>
      </w:tr>
      <w:tr>
        <w:trPr>
          <w:trHeight w:val="1872" w:hRule="atLeast"/>
        </w:trPr>
        <w:tc>
          <w:tcPr>
            <w:tcW w:w="16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5"/>
              <w:rPr>
                <w:sz w:val="19"/>
              </w:rPr>
            </w:pPr>
          </w:p>
          <w:p>
            <w:pPr>
              <w:pStyle w:val="TableParagraph"/>
              <w:ind w:left="297"/>
              <w:rPr>
                <w:sz w:val="21"/>
              </w:rPr>
            </w:pPr>
            <w:r>
              <w:rPr>
                <w:sz w:val="21"/>
              </w:rPr>
              <w:t>控制台审计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spacing w:line="417" w:lineRule="auto"/>
              <w:ind w:left="107" w:right="97"/>
              <w:rPr>
                <w:sz w:val="21"/>
              </w:rPr>
            </w:pPr>
            <w:r>
              <w:rPr>
                <w:sz w:val="21"/>
              </w:rPr>
              <w:t>误操作引起系统崩溃或数据丢失、损坏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before="1"/>
              <w:ind w:left="9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高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417" w:lineRule="auto" w:before="98"/>
              <w:ind w:left="106" w:right="1662"/>
              <w:rPr>
                <w:sz w:val="21"/>
              </w:rPr>
            </w:pPr>
            <w:r>
              <w:rPr>
                <w:sz w:val="21"/>
              </w:rPr>
              <w:t>规范审计流程； </w:t>
            </w:r>
            <w:r>
              <w:rPr>
                <w:spacing w:val="-2"/>
                <w:sz w:val="21"/>
              </w:rPr>
              <w:t>严格选择测评师；</w:t>
            </w:r>
          </w:p>
          <w:p>
            <w:pPr>
              <w:pStyle w:val="TableParagraph"/>
              <w:spacing w:line="269" w:lineRule="exact"/>
              <w:ind w:left="106"/>
              <w:rPr>
                <w:sz w:val="21"/>
              </w:rPr>
            </w:pPr>
            <w:r>
              <w:rPr>
                <w:sz w:val="21"/>
              </w:rPr>
              <w:t>甲方进行全程监控；</w:t>
            </w:r>
          </w:p>
          <w:p>
            <w:pPr>
              <w:pStyle w:val="TableParagraph"/>
              <w:spacing w:before="6"/>
              <w:rPr>
                <w:sz w:val="15"/>
              </w:rPr>
            </w:pPr>
          </w:p>
          <w:p>
            <w:pPr>
              <w:pStyle w:val="TableParagraph"/>
              <w:ind w:left="106"/>
              <w:rPr>
                <w:sz w:val="21"/>
              </w:rPr>
            </w:pPr>
            <w:r>
              <w:rPr>
                <w:sz w:val="21"/>
              </w:rPr>
              <w:t>制定可能的恢复计划；</w:t>
            </w:r>
          </w:p>
        </w:tc>
      </w:tr>
      <w:tr>
        <w:trPr>
          <w:trHeight w:val="935" w:hRule="atLeast"/>
        </w:trPr>
        <w:tc>
          <w:tcPr>
            <w:tcW w:w="164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0"/>
              <w:ind w:left="107"/>
              <w:rPr>
                <w:sz w:val="21"/>
              </w:rPr>
            </w:pPr>
            <w:r>
              <w:rPr>
                <w:sz w:val="21"/>
              </w:rPr>
              <w:t>网络流量和主机资源</w:t>
            </w:r>
          </w:p>
          <w:p>
            <w:pPr>
              <w:pStyle w:val="TableParagraph"/>
              <w:spacing w:before="6"/>
              <w:rPr>
                <w:sz w:val="15"/>
              </w:rPr>
            </w:pPr>
          </w:p>
          <w:p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占用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sz w:val="25"/>
              </w:rPr>
            </w:pPr>
          </w:p>
          <w:p>
            <w:pPr>
              <w:pStyle w:val="TableParagraph"/>
              <w:ind w:left="9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低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sz w:val="25"/>
              </w:rPr>
            </w:pPr>
          </w:p>
          <w:p>
            <w:pPr>
              <w:pStyle w:val="TableParagraph"/>
              <w:ind w:left="106"/>
              <w:rPr>
                <w:sz w:val="21"/>
              </w:rPr>
            </w:pPr>
            <w:r>
              <w:rPr>
                <w:sz w:val="21"/>
              </w:rPr>
              <w:t>避开业务高峰</w:t>
            </w:r>
          </w:p>
        </w:tc>
      </w:tr>
      <w:tr>
        <w:trPr>
          <w:trHeight w:val="936" w:hRule="atLeast"/>
        </w:trPr>
        <w:tc>
          <w:tcPr>
            <w:tcW w:w="16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2"/>
              <w:rPr>
                <w:sz w:val="21"/>
              </w:rPr>
            </w:pPr>
          </w:p>
          <w:p>
            <w:pPr>
              <w:pStyle w:val="TableParagraph"/>
              <w:ind w:left="402"/>
              <w:rPr>
                <w:sz w:val="21"/>
              </w:rPr>
            </w:pPr>
            <w:r>
              <w:rPr>
                <w:sz w:val="21"/>
              </w:rPr>
              <w:t>应用测评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9"/>
              <w:ind w:left="107"/>
              <w:rPr>
                <w:sz w:val="21"/>
              </w:rPr>
            </w:pPr>
            <w:r>
              <w:rPr>
                <w:sz w:val="21"/>
              </w:rPr>
              <w:t>产生非法数据，致使系</w:t>
            </w: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统不能正常工作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sz w:val="25"/>
              </w:rPr>
            </w:pPr>
          </w:p>
          <w:p>
            <w:pPr>
              <w:pStyle w:val="TableParagraph"/>
              <w:ind w:left="9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中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sz w:val="25"/>
              </w:rPr>
            </w:pPr>
          </w:p>
          <w:p>
            <w:pPr>
              <w:pStyle w:val="TableParagraph"/>
              <w:ind w:left="106"/>
              <w:rPr>
                <w:sz w:val="21"/>
              </w:rPr>
            </w:pPr>
            <w:r>
              <w:rPr>
                <w:sz w:val="21"/>
              </w:rPr>
              <w:t>做好系统备份和恢复措施</w:t>
            </w:r>
          </w:p>
        </w:tc>
      </w:tr>
      <w:tr>
        <w:trPr>
          <w:trHeight w:val="1403" w:hRule="atLeast"/>
        </w:trPr>
        <w:tc>
          <w:tcPr>
            <w:tcW w:w="164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9"/>
              <w:ind w:left="107"/>
              <w:rPr>
                <w:sz w:val="21"/>
              </w:rPr>
            </w:pPr>
            <w:r>
              <w:rPr>
                <w:sz w:val="21"/>
              </w:rPr>
              <w:t>异常输入（畸形数据、</w:t>
            </w:r>
          </w:p>
          <w:p>
            <w:pPr>
              <w:pStyle w:val="TableParagraph"/>
              <w:spacing w:line="460" w:lineRule="atLeast" w:before="8"/>
              <w:ind w:left="107" w:right="43"/>
              <w:rPr>
                <w:sz w:val="21"/>
              </w:rPr>
            </w:pPr>
            <w:r>
              <w:rPr>
                <w:sz w:val="21"/>
              </w:rPr>
              <w:t>极限测试）导致系统崩溃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3"/>
              <w:rPr>
                <w:sz w:val="24"/>
              </w:rPr>
            </w:pPr>
          </w:p>
          <w:p>
            <w:pPr>
              <w:pStyle w:val="TableParagraph"/>
              <w:ind w:left="9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高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25"/>
              </w:rPr>
            </w:pPr>
          </w:p>
          <w:p>
            <w:pPr>
              <w:pStyle w:val="TableParagraph"/>
              <w:spacing w:line="417" w:lineRule="auto"/>
              <w:ind w:left="106" w:right="1034"/>
              <w:rPr>
                <w:sz w:val="21"/>
              </w:rPr>
            </w:pPr>
            <w:r>
              <w:rPr>
                <w:sz w:val="21"/>
              </w:rPr>
              <w:t>做好系统备份和恢复措施签署《现场测评授权书》</w:t>
            </w:r>
          </w:p>
        </w:tc>
      </w:tr>
      <w:tr>
        <w:trPr>
          <w:trHeight w:val="467" w:hRule="atLeast"/>
        </w:trPr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9"/>
              <w:ind w:left="170" w:right="164"/>
              <w:jc w:val="center"/>
              <w:rPr>
                <w:sz w:val="21"/>
              </w:rPr>
            </w:pPr>
            <w:r>
              <w:rPr>
                <w:sz w:val="21"/>
              </w:rPr>
              <w:t>测评痕迹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9"/>
              <w:ind w:left="107"/>
              <w:rPr>
                <w:sz w:val="21"/>
              </w:rPr>
            </w:pPr>
            <w:r>
              <w:rPr>
                <w:sz w:val="21"/>
              </w:rPr>
              <w:t>木马、内容篡改等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9"/>
              <w:ind w:left="9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高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9"/>
              <w:ind w:left="106"/>
              <w:rPr>
                <w:sz w:val="21"/>
              </w:rPr>
            </w:pPr>
            <w:r>
              <w:rPr>
                <w:sz w:val="21"/>
              </w:rPr>
              <w:t>对测评痕迹进行清理</w:t>
            </w:r>
          </w:p>
        </w:tc>
      </w:tr>
    </w:tbl>
    <w:p>
      <w:pPr>
        <w:pStyle w:val="BodyText"/>
        <w:spacing w:before="7"/>
        <w:rPr>
          <w:sz w:val="23"/>
        </w:rPr>
      </w:pPr>
      <w:r>
        <w:rPr/>
        <w:pict>
          <v:line style="position:absolute;mso-position-horizontal-relative:page;mso-position-vertical-relative:paragraph;z-index:-251657216;mso-wrap-distance-left:0;mso-wrap-distance-right:0" from="90pt,17.5212pt" to="504pt,17.5212pt" stroked="true" strokeweight=".84pt" strokecolor="#000000">
            <v:stroke dashstyle="solid"/>
            <w10:wrap type="topAndBottom"/>
          </v:line>
        </w:pic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364" w:lineRule="auto" w:before="66"/>
        <w:ind w:left="220" w:right="217" w:firstLine="480"/>
      </w:pPr>
      <w:r>
        <w:rPr>
          <w:spacing w:val="-7"/>
        </w:rPr>
        <w:t>被测评单位已知悉测评风险告知书内容，了解测评过程中可能面临的安全风</w:t>
      </w:r>
      <w:r>
        <w:rPr/>
        <w:t>险，已做好相关安全防护措施，并积极配合测评工作。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7"/>
        </w:rPr>
      </w:pPr>
    </w:p>
    <w:p>
      <w:pPr>
        <w:pStyle w:val="Heading1"/>
        <w:tabs>
          <w:tab w:pos="7098" w:val="left" w:leader="none"/>
          <w:tab w:pos="8525" w:val="left" w:leader="none"/>
        </w:tabs>
        <w:rPr>
          <w:rFonts w:ascii="Calibri" w:eastAsia="Calibri"/>
          <w:u w:val="none"/>
        </w:rPr>
      </w:pPr>
      <w:r>
        <w:rPr>
          <w:u w:val="none"/>
        </w:rPr>
        <w:t>被测评单位签字：</w:t>
      </w:r>
      <w:r>
        <w:rPr>
          <w:u w:val="single"/>
        </w:rPr>
        <w:t> </w:t>
        <w:tab/>
      </w:r>
      <w:r>
        <w:rPr>
          <w:rFonts w:ascii="Calibri" w:eastAsia="Calibri"/>
          <w:u w:val="single"/>
        </w:rPr>
        <w:t>XX</w:t>
        <w:tab/>
      </w:r>
    </w:p>
    <w:p>
      <w:pPr>
        <w:pStyle w:val="BodyText"/>
        <w:spacing w:before="8"/>
        <w:rPr>
          <w:rFonts w:ascii="Calibri"/>
          <w:b/>
          <w:sz w:val="16"/>
        </w:rPr>
      </w:pPr>
    </w:p>
    <w:p>
      <w:pPr>
        <w:tabs>
          <w:tab w:pos="6205" w:val="left" w:leader="none"/>
        </w:tabs>
        <w:spacing w:before="62"/>
        <w:ind w:left="5082" w:right="0" w:firstLine="0"/>
        <w:jc w:val="left"/>
        <w:rPr>
          <w:b/>
          <w:sz w:val="28"/>
        </w:rPr>
      </w:pPr>
      <w:r>
        <w:rPr>
          <w:b/>
          <w:sz w:val="28"/>
        </w:rPr>
        <w:t>日期：</w:t>
      </w:r>
      <w:r>
        <w:rPr>
          <w:b/>
          <w:sz w:val="28"/>
          <w:u w:val="single"/>
        </w:rPr>
        <w:t> </w:t>
        <w:tab/>
      </w:r>
      <w:r>
        <w:rPr>
          <w:rFonts w:ascii="Calibri" w:eastAsia="Calibri"/>
          <w:b/>
          <w:sz w:val="28"/>
          <w:u w:val="single"/>
        </w:rPr>
        <w:t>2020</w:t>
      </w:r>
      <w:r>
        <w:rPr>
          <w:rFonts w:ascii="Calibri" w:eastAsia="Calibri"/>
          <w:b/>
          <w:spacing w:val="6"/>
          <w:sz w:val="28"/>
          <w:u w:val="single"/>
        </w:rPr>
        <w:t> </w:t>
      </w:r>
      <w:r>
        <w:rPr>
          <w:b/>
          <w:sz w:val="28"/>
          <w:u w:val="single"/>
        </w:rPr>
        <w:t>年</w:t>
      </w:r>
      <w:r>
        <w:rPr>
          <w:b/>
          <w:spacing w:val="-72"/>
          <w:sz w:val="28"/>
          <w:u w:val="single"/>
        </w:rPr>
        <w:t> </w:t>
      </w:r>
      <w:r>
        <w:rPr>
          <w:rFonts w:ascii="Calibri" w:eastAsia="Calibri"/>
          <w:b/>
          <w:sz w:val="28"/>
          <w:u w:val="single"/>
        </w:rPr>
        <w:t>11</w:t>
      </w:r>
      <w:r>
        <w:rPr>
          <w:rFonts w:ascii="Calibri" w:eastAsia="Calibri"/>
          <w:b/>
          <w:spacing w:val="5"/>
          <w:sz w:val="28"/>
          <w:u w:val="single"/>
        </w:rPr>
        <w:t> </w:t>
      </w:r>
      <w:r>
        <w:rPr>
          <w:b/>
          <w:sz w:val="28"/>
          <w:u w:val="single"/>
        </w:rPr>
        <w:t>月</w:t>
      </w:r>
      <w:r>
        <w:rPr>
          <w:b/>
          <w:spacing w:val="-70"/>
          <w:sz w:val="28"/>
          <w:u w:val="single"/>
        </w:rPr>
        <w:t> </w:t>
      </w:r>
      <w:r>
        <w:rPr>
          <w:rFonts w:ascii="Calibri" w:eastAsia="Calibri"/>
          <w:b/>
          <w:sz w:val="28"/>
          <w:u w:val="single"/>
        </w:rPr>
        <w:t>5</w:t>
      </w:r>
      <w:r>
        <w:rPr>
          <w:rFonts w:ascii="Calibri" w:eastAsia="Calibri"/>
          <w:b/>
          <w:spacing w:val="5"/>
          <w:sz w:val="28"/>
          <w:u w:val="single"/>
        </w:rPr>
        <w:t> </w:t>
      </w:r>
      <w:r>
        <w:rPr>
          <w:b/>
          <w:sz w:val="28"/>
          <w:u w:val="single"/>
        </w:rPr>
        <w:t>日</w:t>
      </w:r>
    </w:p>
    <w:sectPr>
      <w:pgSz w:w="11910" w:h="16840"/>
      <w:pgMar w:header="1169" w:footer="0" w:top="1460" w:bottom="280" w:left="158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微软雅黑">
    <w:altName w:val="微软雅黑"/>
    <w:charset w:val="86"/>
    <w:family w:val="swiss"/>
    <w:pitch w:val="variable"/>
  </w:font>
  <w:font w:name="华文仿宋">
    <w:altName w:val="华文仿宋"/>
    <w:charset w:val="86"/>
    <w:family w:val="auto"/>
    <w:pitch w:val="variable"/>
  </w:font>
  <w:font w:name="Calibri">
    <w:altName w:val="Calibri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45.040009pt;margin-top:57.447075pt;width:61.35pt;height:13.9pt;mso-position-horizontal-relative:page;mso-position-vertical-relative:page;z-index:-251967488" type="#_x0000_t202" filled="false" stroked="false">
          <v:textbox inset="0,0,0,0">
            <w:txbxContent>
              <w:p>
                <w:pPr>
                  <w:spacing w:line="278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rFonts w:ascii="微软雅黑"/>
                    <w:sz w:val="18"/>
                  </w:rPr>
                  <w:t>XXXX</w:t>
                </w:r>
                <w:r>
                  <w:rPr>
                    <w:sz w:val="18"/>
                  </w:rPr>
                  <w:t>-CP31-01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zh-CN" w:eastAsia="zh-CN" w:bidi="zh-CN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24"/>
      <w:szCs w:val="24"/>
      <w:lang w:val="zh-CN" w:eastAsia="zh-CN" w:bidi="zh-CN"/>
    </w:rPr>
  </w:style>
  <w:style w:styleId="Heading1" w:type="paragraph">
    <w:name w:val="Heading 1"/>
    <w:basedOn w:val="Normal"/>
    <w:uiPriority w:val="1"/>
    <w:qFormat/>
    <w:pPr>
      <w:ind w:left="4148"/>
      <w:outlineLvl w:val="1"/>
    </w:pPr>
    <w:rPr>
      <w:rFonts w:ascii="宋体" w:hAnsi="宋体" w:eastAsia="宋体" w:cs="宋体"/>
      <w:b/>
      <w:bCs/>
      <w:sz w:val="28"/>
      <w:szCs w:val="28"/>
      <w:u w:val="single" w:color="000000"/>
      <w:lang w:val="zh-CN" w:eastAsia="zh-CN" w:bidi="zh-CN"/>
    </w:rPr>
  </w:style>
  <w:style w:styleId="ListParagraph" w:type="paragraph">
    <w:name w:val="List Paragraph"/>
    <w:basedOn w:val="Normal"/>
    <w:uiPriority w:val="1"/>
    <w:qFormat/>
    <w:pPr/>
    <w:rPr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HAIKUN</dc:creator>
  <dcterms:created xsi:type="dcterms:W3CDTF">2021-07-16T07:25:26Z</dcterms:created>
  <dcterms:modified xsi:type="dcterms:W3CDTF">2021-07-16T07:25:26Z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2021-05-17T00:00:00Z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2021-07-16T00:00:00Z</vt:filetime>
  </property>
</Properties>
</file>