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AcmeHeading1"/>
        <w:spacing w:after="240"/>
      </w:pPr>
      <w:r>
        <w:t xml:space="preserve">Partner Matrix</w:t>
      </w:r>
    </w:p>
    <w:tbl>
      <w:tblPr>
        <w:tblStyle w:val="Acme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t xml:space="preserve">Partner</w:t>
            </w:r>
          </w:p>
        </w:tc>
        <w:tc>
          <w:p>
            <w:r>
              <w:t xml:space="preserve">Region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Northwind</w:t>
            </w:r>
          </w:p>
        </w:tc>
        <w:tc>
          <w:p>
            <w:r>
              <w:t xml:space="preserve">NA</w:t>
            </w:r>
          </w:p>
        </w:tc>
        <w:tc>
          <w:p>
            <w:r>
              <w:t xml:space="preserve">Active</w:t>
            </w:r>
          </w:p>
        </w:tc>
      </w:tr>
      <w:tr>
        <w:tc>
          <w:p>
            <w:r>
              <w:t xml:space="preserve">Contoso</w:t>
            </w:r>
          </w:p>
        </w:tc>
        <w:tc>
          <w:p>
            <w:r>
              <w:t xml:space="preserve">EU</w:t>
            </w:r>
          </w:p>
        </w:tc>
        <w:tc>
          <w:p>
            <w:r>
              <w:t xml:space="preserve">Pending</w:t>
            </w:r>
          </w:p>
        </w:tc>
      </w:tr>
    </w:tbl>
    <w:p>
      <w:pPr>
        <w:pStyle w:val="AcmeBody"/>
        <w:spacing w:after="240"/>
      </w:pPr>
      <w:r>
        <w:t xml:space="preserve">Reference implementation: </w:t>
      </w:r>
      <w:hyperlink r:id="rId3">
        <w:r>
          <w:t xml:space="preserve">ACME Platform</w:t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70">
    <w:lvl w:ilvl="0">
      <w:start w:val="1"/>
      <w:numFmt w:val="bullet"/>
      <w:lvlText w:val="*"/>
    </w:lvl>
    <w:lvl w:ilvl="1">
      <w:start w:val="1"/>
      <w:numFmt w:val="bullet"/>
      <w:lvlText w:val="-"/>
    </w:lvl>
    <w:lvl w:ilvl="2">
      <w:start w:val="1"/>
      <w:numFmt w:val="bullet"/>
      <w:lvlText w:val="+"/>
    </w:lvl>
  </w:abstractNum>
  <w:abstractNum w:abstractNumId="80">
    <w:lvl w:ilvl="0">
      <w:start w:val="1"/>
      <w:numFmt w:val="decimal"/>
      <w:lvlText w:val="%1."/>
    </w:lvl>
    <w:lvl w:ilvl="1">
      <w:start w:val="1"/>
      <w:numFmt w:val="lowerLetter"/>
      <w:lvlText w:val="%2."/>
    </w:lvl>
    <w:lvl w:ilvl="2">
      <w:start w:val="1"/>
      <w:numFmt w:val="lowerRoman"/>
      <w:lvlText w:val="%3."/>
    </w:lvl>
  </w:abstractNum>
  <w:num w:numId="77">
    <w:abstractNumId w:val="70"/>
  </w:num>
  <w:num w:numId="88">
    <w:abstractNumId w:val="8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/>
    </w:pPrDefault>
  </w:docDefaults>
  <w:style w:type="paragraph" w:default="1" w:styleId="Normal">
    <w:name w:val="Normal"/>
    <w:rPr>
      <w:rFonts w:ascii="Calibri" w:hAnsi="Calibri"/>
      <w:sz w:val="22"/>
    </w:rPr>
  </w:style>
  <w:style w:type="paragraph" w:styleId="AcmeTitle">
    <w:name w:val="Acme Title"/>
    <w:basedOn w:val="Normal"/>
    <w:qFormat/>
    <w:pPr>
      <w:spacing w:before="240" w:after="220"/>
    </w:pPr>
    <w:rPr>
      <w:rFonts w:ascii="Calibri" w:hAnsi="Calibri"/>
      <w:b/>
      <w:color w:val="0B4F6C"/>
      <w:sz w:val="52"/>
    </w:rPr>
  </w:style>
  <w:style w:type="paragraph" w:styleId="AcmeHeading1">
    <w:name w:val="Acme Heading 1"/>
    <w:aliases w:val="Acme H1 Alias,ACME HEADING ONE"/>
    <w:basedOn w:val="Normal"/>
    <w:next w:val="AcmeBody"/>
    <w:qFormat/>
    <w:pPr>
      <w:spacing w:before="220" w:after="140"/>
    </w:pPr>
    <w:rPr>
      <w:rFonts w:ascii="Calibri" w:hAnsi="Calibri"/>
      <w:b/>
      <w:color w:val="0B4F6C"/>
      <w:sz w:val="40"/>
    </w:rPr>
  </w:style>
  <w:style w:type="paragraph" w:styleId="AcmeHeading2">
    <w:name w:val="Acme Heading 2"/>
    <w:basedOn w:val="Normal"/>
    <w:next w:val="AcmeBody"/>
    <w:qFormat/>
    <w:pPr>
      <w:spacing w:before="180" w:after="120"/>
    </w:pPr>
    <w:rPr>
      <w:b/>
      <w:color w:val="1B6B93"/>
      <w:sz w:val="32"/>
    </w:rPr>
  </w:style>
  <w:style w:type="paragraph" w:styleId="AcmeHeading3">
    <w:name w:val="Acme Heading 3"/>
    <w:basedOn w:val="Normal"/>
    <w:next w:val="AcmeBody"/>
    <w:qFormat/>
    <w:pPr>
      <w:spacing w:before="140" w:after="100"/>
    </w:pPr>
    <w:rPr>
      <w:b/>
      <w:color w:val="2B7C9F"/>
      <w:sz w:val="28"/>
    </w:rPr>
  </w:style>
  <w:style w:type="paragraph" w:styleId="AcmeHeading4">
    <w:name w:val="Acme Heading 4"/>
    <w:basedOn w:val="Normal"/>
    <w:rPr>
      <w:b/>
      <w:color w:val="2B7C9F"/>
      <w:sz w:val="26"/>
    </w:rPr>
  </w:style>
  <w:style w:type="paragraph" w:styleId="AcmeHeading5">
    <w:name w:val="Acme Heading 5"/>
    <w:basedOn w:val="Normal"/>
    <w:rPr>
      <w:b/>
      <w:color w:val="2B7C9F"/>
      <w:sz w:val="24"/>
    </w:rPr>
  </w:style>
  <w:style w:type="paragraph" w:styleId="AcmeHeading6">
    <w:name w:val="Acme Heading 6"/>
    <w:basedOn w:val="Normal"/>
    <w:rPr>
      <w:b/>
      <w:color w:val="2B7C9F"/>
      <w:sz w:val="22"/>
    </w:rPr>
  </w:style>
  <w:style w:type="paragraph" w:styleId="AcmeBody">
    <w:name w:val="Acme Body"/>
    <w:basedOn w:val="Normal"/>
    <w:pPr>
      <w:spacing w:after="120"/>
    </w:pPr>
    <w:rPr>
      <w:rFonts w:ascii="Calibri" w:hAnsi="Calibri"/>
      <w:sz w:val="22"/>
      <w:color w:val="1F2933"/>
    </w:rPr>
  </w:style>
  <w:style w:type="paragraph" w:styleId="AcmeQuote">
    <w:name w:val="Acme Quote"/>
    <w:basedOn w:val="AcmeBody"/>
    <w:pPr>
      <w:ind w:left="720"/>
      <w:spacing w:before="80" w:after="140"/>
      <w:pBdr>
        <w:left w:val="single" w:sz="10" w:space="8" w:color="7AA6C2"/>
      </w:pBdr>
    </w:pPr>
    <w:rPr>
      <w:i/>
      <w:color w:val="3E5667"/>
    </w:rPr>
  </w:style>
  <w:style w:type="character" w:styleId="AcmeCodeInline">
    <w:name w:val="Acme Code Inline"/>
    <w:basedOn w:val="DefaultParagraphFont"/>
    <w:rPr>
      <w:rFonts w:ascii="Consolas" w:hAnsi="Consolas"/>
      <w:color w:val="0F3E56"/>
      <w:sz w:val="20"/>
      <w:shd w:val="clear" w:color="auto" w:fill="EAF2F8"/>
    </w:rPr>
  </w:style>
  <w:style w:type="paragraph" w:styleId="AcmeCodeBlock">
    <w:name w:val="Acme Code Block"/>
    <w:basedOn w:val="AcmeBody"/>
    <w:link w:val="AcmeCodeInline"/>
    <w:pPr>
      <w:spacing w:before="80" w:after="140"/>
      <w:ind w:left="360"/>
      <w:shd w:val="clear" w:color="auto" w:fill="F4F7FA"/>
    </w:pPr>
    <w:rPr>
      <w:rFonts w:ascii="Consolas" w:hAnsi="Consolas"/>
      <w:sz w:val="20"/>
    </w:rPr>
  </w:style>
  <w:style w:type="character" w:styleId="AcmeEquationInline">
    <w:name w:val="Acme Equation Inline"/>
    <w:rPr>
      <w:color w:val="1B3C6B"/>
    </w:rPr>
  </w:style>
  <w:style w:type="paragraph" w:styleId="AcmeEquationBlock">
    <w:name w:val="Acme Equation Block"/>
    <w:basedOn w:val="AcmeBody"/>
    <w:pPr>
      <w:jc w:val="center"/>
      <w:spacing w:before="80" w:after="140"/>
    </w:pPr>
  </w:style>
  <w:style w:type="paragraph" w:styleId="AcmeBulletList">
    <w:name w:val="Acme Bullet List"/>
    <w:aliases w:val="Acme Bullet Alias"/>
    <w:basedOn w:val="AcmeBody"/>
    <w:pPr>
      <w:numPr>
        <w:ilvl w:val="1"/>
        <w:numId w:val="77"/>
      </w:numPr>
      <w:spacing w:after="60"/>
    </w:pPr>
  </w:style>
  <w:style w:type="paragraph" w:styleId="AcmeNumberList">
    <w:name w:val="Acme Number List"/>
    <w:aliases w:val="Acme Number Alias"/>
    <w:basedOn w:val="AcmeBody"/>
    <w:pPr>
      <w:numPr>
        <w:ilvl w:val="0"/>
        <w:numId w:val="88"/>
      </w:numPr>
      <w:spacing w:after="60"/>
    </w:pPr>
  </w:style>
  <w:style w:type="table" w:styleId="AcmeTable">
    <w:name w:val="Acme Table"/>
    <w:tblPr>
      <w:tblBorders>
        <w:top w:val="single" w:sz="8" w:color="7AA6C2"/>
        <w:left w:val="single" w:sz="8" w:color="7AA6C2"/>
        <w:bottom w:val="single" w:sz="8" w:color="7AA6C2"/>
        <w:right w:val="single" w:sz="8" w:color="7AA6C2"/>
        <w:insideH w:val="single" w:sz="6" w:color="C5D6E3"/>
        <w:insideV w:val="single" w:sz="6" w:color="C5D6E3"/>
      </w:tblBorders>
    </w:tblPr>
    <w:tblStylePr w:type="firstRow">
      <w:rPr>
        <w:b/>
        <w:color w:val="FFFFFF"/>
      </w:rPr>
      <w:tblPr>
        <w:shd w:val="clear" w:color="auto" w:fill="2F6F8F"/>
      </w:tbl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xample.com/platfor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docwarp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docwarp output</dc:title>
  <dc:creator>docwarp</dc:creator>
</cp:coreProperties>
</file>