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Statistical Appendix</w:t>
      </w:r>
    </w:p>
    <w:p>
      <w:pPr>
        <w:pStyle w:val="AcmeBody"/>
        <w:spacing w:after="240"/>
      </w:pPr>
      <w:r>
        <w:t xml:space="preserve">Inline model: </w:t>
      </w:r>
      <m:oMath>
        <m:r>
          <m:rPr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x</m:t>
        </m:r>
        <m:r>
          <m:rPr>
            <m:sty m:val="p"/>
          </m:rPr>
          <m:t>+</m:t>
        </m:r>
        <m:r>
          <m:rPr>
            <m:sty m:val="p"/>
          </m:rPr>
          <m:t>b</m:t>
        </m:r>
      </m:oMath>
      <w:r>
        <w:rPr>
          <w:vanish/>
        </w:rPr>
        <w:t xml:space="preserve">[[docwarp-eq:i:79203d206d78202b2062]]</w:t>
      </w:r>
    </w:p>
    <w:p>
      <w:pPr>
        <w:pStyle w:val="AcmeEquationBlock"/>
        <w:spacing w:after="240"/>
      </w:pPr>
      <m:oMathPara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∣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  <w:r>
        <w:rPr>
          <w:vanish/>
        </w:rPr>
        <w:t xml:space="preserve">[[docwarp-eq:d:502841205c6d6964204229203d205c667261637b502842205c6d6964204129502841297d7b502842297d]]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  <w:rPr>
      <w:rFonts w:ascii="Calibri" w:hAnsi="Calibri"/>
      <w:sz w:val="22"/>
    </w:rPr>
  </w:style>
  <w:style w:type="paragraph" w:styleId="AcmeTitle">
    <w:name w:val="Acme Title"/>
    <w:basedOn w:val="Normal"/>
    <w:qFormat/>
    <w:pPr>
      <w:spacing w:before="240" w:after="220"/>
    </w:pPr>
    <w:rPr>
      <w:rFonts w:ascii="Calibri" w:hAnsi="Calibri"/>
      <w:b/>
      <w:color w:val="0B4F6C"/>
      <w:sz w:val="52"/>
    </w:rPr>
  </w:style>
  <w:style w:type="paragraph" w:styleId="AcmeHeading1">
    <w:name w:val="Acme Heading 1"/>
    <w:aliases w:val="Acme H1 Alias,ACME HEADING ONE"/>
    <w:basedOn w:val="Normal"/>
    <w:next w:val="AcmeBody"/>
    <w:qFormat/>
    <w:pPr>
      <w:spacing w:before="220" w:after="140"/>
    </w:pPr>
    <w:rPr>
      <w:rFonts w:ascii="Calibri" w:hAnsi="Calibri"/>
      <w:b/>
      <w:color w:val="0B4F6C"/>
      <w:sz w:val="40"/>
    </w:rPr>
  </w:style>
  <w:style w:type="paragraph" w:styleId="AcmeHeading2">
    <w:name w:val="Acme Heading 2"/>
    <w:basedOn w:val="Normal"/>
    <w:next w:val="AcmeBody"/>
    <w:qFormat/>
    <w:pPr>
      <w:spacing w:before="180" w:after="120"/>
    </w:pPr>
    <w:rPr>
      <w:b/>
      <w:color w:val="1B6B93"/>
      <w:sz w:val="32"/>
    </w:rPr>
  </w:style>
  <w:style w:type="paragraph" w:styleId="AcmeHeading3">
    <w:name w:val="Acme Heading 3"/>
    <w:basedOn w:val="Normal"/>
    <w:next w:val="AcmeBody"/>
    <w:qFormat/>
    <w:pPr>
      <w:spacing w:before="140" w:after="100"/>
    </w:pPr>
    <w:rPr>
      <w:b/>
      <w:color w:val="2B7C9F"/>
      <w:sz w:val="28"/>
    </w:rPr>
  </w:style>
  <w:style w:type="paragraph" w:styleId="AcmeHeading4">
    <w:name w:val="Acme Heading 4"/>
    <w:basedOn w:val="Normal"/>
    <w:rPr>
      <w:b/>
      <w:color w:val="2B7C9F"/>
      <w:sz w:val="26"/>
    </w:rPr>
  </w:style>
  <w:style w:type="paragraph" w:styleId="AcmeHeading5">
    <w:name w:val="Acme Heading 5"/>
    <w:basedOn w:val="Normal"/>
    <w:rPr>
      <w:b/>
      <w:color w:val="2B7C9F"/>
      <w:sz w:val="24"/>
    </w:rPr>
  </w:style>
  <w:style w:type="paragraph" w:styleId="AcmeHeading6">
    <w:name w:val="Acme Heading 6"/>
    <w:basedOn w:val="Normal"/>
    <w:rPr>
      <w:b/>
      <w:color w:val="2B7C9F"/>
      <w:sz w:val="22"/>
    </w:rPr>
  </w:style>
  <w:style w:type="paragraph" w:styleId="AcmeBody">
    <w:name w:val="Acme Body"/>
    <w:basedOn w:val="Normal"/>
    <w:pPr>
      <w:spacing w:after="120"/>
    </w:pPr>
    <w:rPr>
      <w:rFonts w:ascii="Calibri" w:hAnsi="Calibri"/>
      <w:sz w:val="22"/>
      <w:color w:val="1F2933"/>
    </w:rPr>
  </w:style>
  <w:style w:type="paragraph" w:styleId="AcmeQuote">
    <w:name w:val="Acme Quote"/>
    <w:basedOn w:val="AcmeBody"/>
    <w:pPr>
      <w:ind w:left="720"/>
      <w:spacing w:before="80" w:after="140"/>
      <w:pBdr>
        <w:left w:val="single" w:sz="10" w:space="8" w:color="7AA6C2"/>
      </w:pBdr>
    </w:pPr>
    <w:rPr>
      <w:i/>
      <w:color w:val="3E5667"/>
    </w:rPr>
  </w:style>
  <w:style w:type="character" w:styleId="AcmeCodeInline">
    <w:name w:val="Acme Code Inline"/>
    <w:basedOn w:val="DefaultParagraphFont"/>
    <w:rPr>
      <w:rFonts w:ascii="Consolas" w:hAnsi="Consolas"/>
      <w:color w:val="0F3E56"/>
      <w:sz w:val="20"/>
      <w:shd w:val="clear" w:color="auto" w:fill="EAF2F8"/>
    </w:rPr>
  </w:style>
  <w:style w:type="paragraph" w:styleId="AcmeCodeBlock">
    <w:name w:val="Acme Code Block"/>
    <w:basedOn w:val="AcmeBody"/>
    <w:link w:val="AcmeCodeInline"/>
    <w:pPr>
      <w:spacing w:before="80" w:after="140"/>
      <w:ind w:left="360"/>
      <w:shd w:val="clear" w:color="auto" w:fill="F4F7FA"/>
    </w:pPr>
    <w:rPr>
      <w:rFonts w:ascii="Consolas" w:hAnsi="Consolas"/>
      <w:sz w:val="20"/>
    </w:rPr>
  </w:style>
  <w:style w:type="character" w:styleId="AcmeEquationInline">
    <w:name w:val="Acme Equation Inline"/>
    <w:rPr>
      <w:color w:val="1B3C6B"/>
    </w:rPr>
  </w:style>
  <w:style w:type="paragraph" w:styleId="AcmeEquationBlock">
    <w:name w:val="Acme Equation Block"/>
    <w:basedOn w:val="AcmeBody"/>
    <w:pPr>
      <w:jc w:val="center"/>
      <w:spacing w:before="80" w:after="140"/>
    </w:pPr>
  </w:style>
  <w:style w:type="paragraph" w:styleId="AcmeBulletList">
    <w:name w:val="Acme Bullet List"/>
    <w:aliases w:val="Acme Bullet Alias"/>
    <w:basedOn w:val="AcmeBody"/>
    <w:pPr>
      <w:numPr>
        <w:ilvl w:val="1"/>
        <w:numId w:val="77"/>
      </w:numPr>
      <w:spacing w:after="60"/>
    </w:pPr>
  </w:style>
  <w:style w:type="paragraph" w:styleId="AcmeNumberList">
    <w:name w:val="Acme Number List"/>
    <w:aliases w:val="Acme Number Alias"/>
    <w:basedOn w:val="AcmeBody"/>
    <w:pPr>
      <w:numPr>
        <w:ilvl w:val="0"/>
        <w:numId w:val="88"/>
      </w:numPr>
      <w:spacing w:after="60"/>
    </w:pPr>
  </w:style>
  <w:style w:type="table" w:styleId="AcmeTable">
    <w:name w:val="Acme Table"/>
    <w:tblPr>
      <w:tblBorders>
        <w:top w:val="single" w:sz="8" w:color="7AA6C2"/>
        <w:left w:val="single" w:sz="8" w:color="7AA6C2"/>
        <w:bottom w:val="single" w:sz="8" w:color="7AA6C2"/>
        <w:right w:val="single" w:sz="8" w:color="7AA6C2"/>
        <w:insideH w:val="single" w:sz="6" w:color="C5D6E3"/>
        <w:insideV w:val="single" w:sz="6" w:color="C5D6E3"/>
      </w:tblBorders>
    </w:tblPr>
    <w:tblStylePr w:type="firstRow">
      <w:rPr>
        <w:b/>
        <w:color w:val="FFFFFF"/>
      </w:rPr>
      <w:tblPr>
        <w:shd w:val="clear" w:color="auto" w:fill="2F6F8F"/>
      </w:tbl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