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Partner Matrix</w:t>
      </w:r>
    </w:p>
    <w:tbl>
      <w:tblPr>
        <w:tblStyle w:val="Acme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Partner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Northwind</w:t>
            </w:r>
          </w:p>
        </w:tc>
        <w:tc>
          <w:p>
            <w:r>
              <w:t xml:space="preserve">NA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Contoso</w:t>
            </w:r>
          </w:p>
        </w:tc>
        <w:tc>
          <w:p>
            <w:r>
              <w:t xml:space="preserve">EU</w:t>
            </w:r>
          </w:p>
        </w:tc>
        <w:tc>
          <w:p>
            <w:r>
              <w:t xml:space="preserve">Pending</w:t>
            </w:r>
          </w:p>
        </w:tc>
      </w:tr>
    </w:tbl>
    <w:p>
      <w:pPr>
        <w:pStyle w:val="AcmeBody"/>
        <w:spacing w:after="240"/>
      </w:pPr>
      <w:r>
        <w:t xml:space="preserve">Reference implementation: </w:t>
      </w:r>
      <w:hyperlink r:id="rId3">
        <w:r>
          <w:t xml:space="preserve">ACME Platform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latfor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