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AcmeHeading1"/>
        <w:spacing w:after="240"/>
      </w:pPr>
      <w:r>
        <w:t xml:space="preserve">Weekly Operations Brief</w:t>
      </w:r>
    </w:p>
    <w:p>
      <w:pPr>
        <w:pStyle w:val="AcmeHeading2"/>
        <w:spacing w:before="240" w:after="240"/>
      </w:pPr>
      <w:r>
        <w:t xml:space="preserve">Highlights</w:t>
      </w:r>
    </w:p>
    <w:p>
      <w:pPr>
        <w:pStyle w:val="AcmeBulletList"/>
        <w:numPr>
          <w:ilvl w:val="1"/>
          <w:numId w:val="77"/>
        </w:numPr>
      </w:pPr>
      <w:r>
        <w:t xml:space="preserve">Ticket backlog reduced by 18%.</w:t>
      </w:r>
    </w:p>
    <w:p>
      <w:pPr>
        <w:pStyle w:val="AcmeBulletList"/>
        <w:numPr>
          <w:ilvl w:val="1"/>
          <w:numId w:val="77"/>
        </w:numPr>
      </w:pPr>
      <w:r>
        <w:t xml:space="preserve">Mean recovery time improved by 22 minutes.</w:t>
      </w:r>
    </w:p>
    <w:p>
      <w:pPr>
        <w:pStyle w:val="AcmeHeading2"/>
        <w:spacing w:before="240" w:after="240"/>
      </w:pPr>
      <w:r>
        <w:t xml:space="preserve">Capacity Table</w:t>
      </w:r>
    </w:p>
    <w:tbl>
      <w:tblPr>
        <w:tblStyle w:val="Acme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t xml:space="preserve">Team</w:t>
            </w:r>
          </w:p>
        </w:tc>
        <w:tc>
          <w:p>
            <w:r>
              <w:t xml:space="preserve">Incidents</w:t>
            </w:r>
          </w:p>
        </w:tc>
        <w:tc>
          <w:p>
            <w:r>
              <w:t xml:space="preserve">SLA Met</w:t>
            </w:r>
          </w:p>
        </w:tc>
      </w:tr>
      <w:tr>
        <w:tc>
          <w:p>
            <w:r>
              <w:t xml:space="preserve">Core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Integrations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Yes</w:t>
            </w:r>
          </w:p>
        </w:tc>
      </w:tr>
    </w:tbl>
    <w:p>
      <w:pPr>
        <w:pStyle w:val="AcmeQuote"/>
      </w:pPr>
      <w:r>
        <w:t xml:space="preserve">Customer-facing incidents require same-day RCA updates.</w:t>
      </w:r>
    </w:p>
    <w:p>
      <w:pPr>
        <w:pStyle w:val="AcmeBody"/>
        <w:spacing w:after="240"/>
      </w:pPr>
      <w:r>
        <w:t xml:space="preserve">Inline code reference: </w:t>
      </w:r>
      <w:r>
        <w:rPr>
          <w:rStyle w:val="AcmeCodeInline"/>
        </w:rPr>
        <w:t xml:space="preserve">cargo test -p docwarp-cli</w:t>
      </w:r>
    </w:p>
    <w:p>
      <w:pPr>
        <w:pStyle w:val="AcmeCodeBlock"/>
      </w:pPr>
      <w:r>
        <w:rPr>
          <w:vanish/>
        </w:rPr>
        <w:t xml:space="preserve">[[docwarp-code-lang:text]]</w:t>
      </w:r>
      <w:r>
        <w:rPr>
          <w:rStyle w:val="AcmeCodeInline"/>
        </w:rPr>
        <w:t xml:space="preserve">docwarp md2docx ./fixtures/company_templates/md --output ./build/company-docx</w:t>
      </w:r>
    </w:p>
    <w:p>
      <w:pPr>
        <w:pStyle w:val="AcmeBody"/>
        <w:spacing w:after="240"/>
      </w:pPr>
      <w:r>
        <w:drawing>
          <wp:inline distT="0" distB="0" distL="0" distR="0">
            <wp:extent cx="2400000" cy="1800000"/>
            <wp:effectExtent l="0" t="0" r="0" b="0"/>
            <wp:docPr id="1" name="acme-logo.png" descr="ACME 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me-logo.png" descr="ACME mark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cmeEquationBlock"/>
        <w:spacing w:after="240"/>
      </w:pPr>
      <m:oMathPara>
        <m:oMath>
          <m:nary>
            <m:naryPr>
              <m:chr m:val="∑"/>
              <m:limLoc m:val="undOvr"/>
            </m:naryPr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p"/>
                </m:rPr>
                <m:t>n</m:t>
              </m:r>
            </m:sup>
            <m:e>
              <m:sSub>
                <m:e>
                  <m:r>
                    <m:rPr>
                      <m:sty m:val="p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i</m:t>
                  </m:r>
                </m:sub>
              </m:sSub>
            </m:e>
          </m:nary>
        </m:oMath>
      </m:oMathPara>
      <w:r>
        <w:rPr>
          <w:vanish/>
        </w:rPr>
        <w:t xml:space="preserve">[[docwarp-eq:d:5c73756d5f7b693d317d5e7b6e7d20785f69]]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70">
    <w:lvl w:ilvl="0">
      <w:start w:val="1"/>
      <w:numFmt w:val="bullet"/>
      <w:lvlText w:val="*"/>
    </w:lvl>
    <w:lvl w:ilvl="1">
      <w:start w:val="1"/>
      <w:numFmt w:val="bullet"/>
      <w:lvlText w:val="-"/>
    </w:lvl>
    <w:lvl w:ilvl="2">
      <w:start w:val="1"/>
      <w:numFmt w:val="bullet"/>
      <w:lvlText w:val="+"/>
    </w:lvl>
  </w:abstractNum>
  <w:abstractNum w:abstractNumId="80">
    <w:lvl w:ilvl="0">
      <w:start w:val="1"/>
      <w:numFmt w:val="decimal"/>
      <w:lvlText w:val="%1."/>
    </w:lvl>
    <w:lvl w:ilvl="1">
      <w:start w:val="1"/>
      <w:numFmt w:val="lowerLetter"/>
      <w:lvlText w:val="%2."/>
    </w:lvl>
    <w:lvl w:ilvl="2">
      <w:start w:val="1"/>
      <w:numFmt w:val="lowerRoman"/>
      <w:lvlText w:val="%3."/>
    </w:lvl>
  </w:abstractNum>
  <w:num w:numId="77">
    <w:abstractNumId w:val="70"/>
  </w:num>
  <w:num w:numId="88">
    <w:abstractNumId w:val="8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AcmeTitle">
    <w:name w:val="Acme Title"/>
  </w:style>
  <w:style w:type="paragraph" w:styleId="AcmeHeading1">
    <w:name w:val="Acme Heading 1"/>
    <w:aliases w:val="Acme H1 Alias,ACME HEADING ONE"/>
  </w:style>
  <w:style w:type="paragraph" w:styleId="AcmeHeading2">
    <w:name w:val="Acme Heading 2"/>
  </w:style>
  <w:style w:type="paragraph" w:styleId="AcmeHeading3">
    <w:name w:val="Acme Heading 3"/>
  </w:style>
  <w:style w:type="paragraph" w:styleId="AcmeHeading4">
    <w:name w:val="Acme Heading 4"/>
  </w:style>
  <w:style w:type="paragraph" w:styleId="AcmeHeading5">
    <w:name w:val="Acme Heading 5"/>
  </w:style>
  <w:style w:type="paragraph" w:styleId="AcmeHeading6">
    <w:name w:val="Acme Heading 6"/>
  </w:style>
  <w:style w:type="paragraph" w:styleId="AcmeBody">
    <w:name w:val="Acme Body"/>
  </w:style>
  <w:style w:type="paragraph" w:styleId="AcmeQuote">
    <w:name w:val="Acme Quote"/>
  </w:style>
  <w:style w:type="character" w:styleId="AcmeCodeInline">
    <w:name w:val="Acme Code Inline"/>
  </w:style>
  <w:style w:type="paragraph" w:styleId="AcmeCodeBlock">
    <w:name w:val="Acme Code Block"/>
    <w:link w:val="AcmeCodeInline"/>
  </w:style>
  <w:style w:type="character" w:styleId="AcmeEquationInline">
    <w:name w:val="Acme Equation Inline"/>
  </w:style>
  <w:style w:type="paragraph" w:styleId="AcmeEquationBlock">
    <w:name w:val="Acme Equation Block"/>
  </w:style>
  <w:style w:type="paragraph" w:styleId="AcmeBulletList">
    <w:name w:val="Acme Bullet List"/>
    <w:aliases w:val="Acme Bullet Alias"/>
    <w:pPr>
      <w:numPr>
        <w:ilvl w:val="1"/>
        <w:numId w:val="77"/>
      </w:numPr>
    </w:pPr>
  </w:style>
  <w:style w:type="paragraph" w:styleId="AcmeNumberList">
    <w:name w:val="Acme Number List"/>
    <w:aliases w:val="Acme Number Alias"/>
    <w:pPr>
      <w:numPr>
        <w:ilvl w:val="0"/>
        <w:numId w:val="88"/>
      </w:numPr>
    </w:pPr>
  </w:style>
  <w:style w:type="table" w:styleId="AcmeTable">
    <w:name w:val="Acme Tabl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docwarp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docwarp output</dc:title>
  <dc:creator>docwarp</dc:creator>
</cp:coreProperties>
</file>