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ind w:hanging="0" w:left="0"/>
        <w:rPr/>
      </w:pPr>
      <w:r>
        <w:rPr/>
        <w:t>Inhaltsverzeichnis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210"/>
              <w:tab w:val="right" w:pos="8219" w:leader="dot"/>
            </w:tabs>
            <w:rPr/>
          </w:pPr>
          <w:r>
            <w:fldChar w:fldCharType="begin"/>
          </w:r>
          <w:r>
            <w:rPr>
              <w:rStyle w:val="Verzeichnissprung"/>
            </w:rPr>
            <w:instrText xml:space="preserve"> TOC \f \o "1-9" \h</w:instrText>
          </w:r>
          <w:r>
            <w:rPr>
              <w:rStyle w:val="Verzeichnissprung"/>
            </w:rPr>
            <w:fldChar w:fldCharType="separate"/>
          </w:r>
          <w:hyperlink w:anchor="__RefHeading___Toc1953_2991605050">
            <w:r>
              <w:rPr>
                <w:rStyle w:val="Verzeichnissprung"/>
              </w:rPr>
              <w:t>1. Architekturentscheidung: Auswahl des GUI-Frameworks</w:t>
            </w:r>
            <w:r>
              <w:rPr>
                <w:rStyle w:val="Verzeichnissprung"/>
              </w:rPr>
              <w:tab/>
              <w:t>2</w:t>
            </w:r>
          </w:hyperlink>
        </w:p>
        <w:p>
          <w:pPr>
            <w:pStyle w:val="TOC2"/>
            <w:tabs>
              <w:tab w:val="clear" w:pos="708"/>
              <w:tab w:val="right" w:pos="8219" w:leader="dot"/>
            </w:tabs>
            <w:rPr/>
          </w:pPr>
          <w:hyperlink w:anchor="__RefHeading___Toc1955_2991605050">
            <w:r>
              <w:rPr>
                <w:rStyle w:val="Verzeichnissprung"/>
              </w:rPr>
              <w:t>1.1. Zielsetzung</w:t>
              <w:tab/>
              <w:t>2</w:t>
            </w:r>
          </w:hyperlink>
        </w:p>
        <w:p>
          <w:pPr>
            <w:pStyle w:val="TOC2"/>
            <w:tabs>
              <w:tab w:val="clear" w:pos="708"/>
              <w:tab w:val="right" w:pos="8219" w:leader="dot"/>
            </w:tabs>
            <w:rPr/>
          </w:pPr>
          <w:hyperlink w:anchor="__RefHeading___Toc1957_2991605050">
            <w:r>
              <w:rPr>
                <w:rStyle w:val="Verzeichnissprung"/>
              </w:rPr>
              <w:t>1.2. Definition und Gewichtung der Kriterien</w:t>
              <w:tab/>
              <w:t>2</w:t>
            </w:r>
          </w:hyperlink>
        </w:p>
        <w:p>
          <w:pPr>
            <w:pStyle w:val="TOC2"/>
            <w:tabs>
              <w:tab w:val="clear" w:pos="708"/>
              <w:tab w:val="right" w:pos="8219" w:leader="dot"/>
            </w:tabs>
            <w:rPr/>
          </w:pPr>
          <w:hyperlink w:anchor="__RefHeading___Toc1959_2991605050">
            <w:r>
              <w:rPr>
                <w:rStyle w:val="Verzeichnissprung"/>
              </w:rPr>
              <w:t>1.3. Nutzwertanalyse</w:t>
              <w:tab/>
            </w:r>
          </w:hyperlink>
          <w:r>
            <w:rPr/>
            <w:t>2</w:t>
          </w:r>
        </w:p>
        <w:p>
          <w:pPr>
            <w:pStyle w:val="TOC2"/>
            <w:tabs>
              <w:tab w:val="clear" w:pos="708"/>
              <w:tab w:val="right" w:pos="8219" w:leader="dot"/>
            </w:tabs>
            <w:rPr/>
          </w:pPr>
          <w:hyperlink w:anchor="__RefHeading___Toc1961_2991605050">
            <w:r>
              <w:rPr>
                <w:rStyle w:val="Verzeichnissprung"/>
              </w:rPr>
              <w:t>1.4. Ergebnis und Begründung der Entscheidung</w:t>
              <w:tab/>
            </w:r>
          </w:hyperlink>
          <w:r>
            <w:rPr/>
            <w:t>4</w:t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  <w:t xml:space="preserve"> </w:t>
      </w:r>
    </w:p>
    <w:p>
      <w:pPr>
        <w:pStyle w:val="Heading1"/>
        <w:numPr>
          <w:ilvl w:val="0"/>
          <w:numId w:val="1"/>
        </w:numPr>
        <w:rPr/>
      </w:pPr>
      <w:bookmarkStart w:id="0" w:name="__RefHeading___Toc1953_2991605050"/>
      <w:bookmarkEnd w:id="0"/>
      <w:r>
        <w:rPr/>
        <w:t>Architekturentscheidung: Auswahl des GUI-Frameworks</w:t>
      </w:r>
    </w:p>
    <w:p>
      <w:pPr>
        <w:pStyle w:val="Heading2"/>
        <w:numPr>
          <w:ilvl w:val="1"/>
          <w:numId w:val="1"/>
        </w:numPr>
        <w:rPr/>
      </w:pPr>
      <w:bookmarkStart w:id="1" w:name="__RefHeading___Toc1955_2991605050"/>
      <w:bookmarkEnd w:id="1"/>
      <w:r>
        <w:rPr/>
        <w:t>Zielsetzung</w:t>
      </w:r>
      <w:bookmarkStart w:id="2" w:name="_Toc208314184"/>
    </w:p>
    <w:p>
      <w:pPr>
        <w:pStyle w:val="Normal"/>
        <w:rPr/>
      </w:pPr>
      <w:bookmarkStart w:id="3" w:name="_Toc210732029"/>
      <w:bookmarkEnd w:id="2"/>
      <w:bookmarkEnd w:id="3"/>
      <w:r>
        <w:rPr/>
        <w:t>Ziel dieses Abschnitts ist die Auswahl der geeignetsten Technologie für die grafische Benutzeroberfläche der Anwendung "Piep - Der Takt der Kasse". Da es sich um eine simulationslastige Anwendung mit Verwaltungsanteilen handelt, müssen sowohl dynamische grafische Darstellungen (bewegte Kunden, Karte) als auch klassische Formular-Elemente (Listen, Buttons) unterstützt werden.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4" w:name="__RefHeading___Toc1957_2991605050"/>
      <w:bookmarkEnd w:id="4"/>
      <w:r>
        <w:rPr/>
        <w:t>Definition und Gewichtung der Kriterien</w:t>
      </w:r>
      <w:bookmarkStart w:id="5" w:name="_Toc208314184_Kopie_1"/>
    </w:p>
    <w:p>
      <w:pPr>
        <w:pStyle w:val="BodyText"/>
        <w:rPr/>
      </w:pPr>
      <w:bookmarkEnd w:id="5"/>
      <w:r>
        <w:rPr/>
        <w:t>Um eine objektive Entscheidung zu gewährleisten, wurden sieben Qualitätsmerkmale definiert. Die Gewichtung erfolgt auf einer Skala von 1 (weniger wichtig) bis 5 (essenziel/k.o.-Kriterium).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Grafik- &amp; Simulations-Fähigkeiten (Gewichtung: 5):</w:t>
      </w:r>
      <w:r>
        <w:rPr/>
        <w:t xml:space="preserve"> Maßgeblich für die performante Darstellung hunderter bewegter Objekte. Bewertet wird die Verfügbarkeit eines "Scene Graph" (Verwaltung von Objekten statt Pixeln).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Kompatibilität &amp; Threading (Gewichtung: 5):</w:t>
      </w:r>
      <w:r>
        <w:rPr/>
        <w:t xml:space="preserve"> Verhindert das Einfrieren der GUI während der Simulation durch threadsichere Kommunikation.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Modernität &amp; Widget-Umfang (Gewichtung: 4):</w:t>
      </w:r>
      <w:r>
        <w:rPr/>
        <w:t xml:space="preserve"> Sicherstellung eines professionellen "Look &amp; Feel" durch native Steuerelemente (z. B. validierte Eingabefelder, Slider) für die Simulationssteuerung.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Ökosystem &amp; Erweiterbarkeit (Gewichtung: 3):</w:t>
      </w:r>
      <w:r>
        <w:rPr/>
        <w:t xml:space="preserve"> Einfache Integration von Bibliotheken für Echtzeit-Graphen.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Dokumentation &amp; Community (Gewichtung: 3):</w:t>
      </w:r>
      <w:r>
        <w:rPr/>
        <w:t xml:space="preserve"> Schnelle Problemlösung durch Verbreitung und offizielle Ressourcen.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Benutzerfreundlichkeit / UX (Gewichtung: 2):</w:t>
      </w:r>
      <w:r>
        <w:rPr/>
        <w:t xml:space="preserve"> Responsive Anpassung der Oberfläche an verschiedene Fenstergrößen.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Einarbeitungszeit (Gewichtung: 2):</w:t>
      </w:r>
      <w:r>
        <w:rPr/>
        <w:t xml:space="preserve"> Akzeptanz einer steileren Lernkurve zugunsten besserer Architektur.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6" w:name="__RefHeading___Toc1959_2991605050"/>
      <w:bookmarkEnd w:id="6"/>
      <w:r>
        <w:rPr/>
        <w:t>Nutzwertanalyse</w:t>
      </w:r>
      <w:bookmarkStart w:id="7" w:name="_Toc208314184_Kopie_2"/>
    </w:p>
    <w:p>
      <w:pPr>
        <w:pStyle w:val="Normal"/>
        <w:rPr/>
      </w:pPr>
      <w:bookmarkEnd w:id="7"/>
      <w:r>
        <w:rPr/>
        <w:t xml:space="preserve">Der Vergleich umfasst die Standard-Bibliothek </w:t>
      </w:r>
      <w:r>
        <w:rPr>
          <w:b/>
        </w:rPr>
        <w:t>Tkinter</w:t>
      </w:r>
      <w:r>
        <w:rPr/>
        <w:t xml:space="preserve">, das NUI-Framework </w:t>
      </w:r>
      <w:r>
        <w:rPr>
          <w:b/>
        </w:rPr>
        <w:t>Kivy</w:t>
      </w:r>
      <w:r>
        <w:rPr/>
        <w:t xml:space="preserve"> und das Industriestandard-Framework </w:t>
      </w:r>
      <w:r>
        <w:rPr>
          <w:b/>
        </w:rPr>
        <w:t>PyQt6</w:t>
      </w:r>
      <w:r>
        <w:rPr/>
        <w:t xml:space="preserve">. Bewertungsskala: </w:t>
      </w:r>
      <w:r>
        <w:rPr>
          <w:b/>
        </w:rPr>
        <w:t>1 (mangelhaft)</w:t>
      </w:r>
      <w:r>
        <w:rPr/>
        <w:t xml:space="preserve"> bis </w:t>
      </w:r>
      <w:r>
        <w:rPr>
          <w:b/>
        </w:rPr>
        <w:t>5 (sehr gut)</w:t>
      </w:r>
      <w:r>
        <w:rPr/>
        <w:t>.</w:t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30"/>
        <w:gridCol w:w="633"/>
        <w:gridCol w:w="1072"/>
        <w:gridCol w:w="1367"/>
        <w:gridCol w:w="1233"/>
        <w:gridCol w:w="2784"/>
      </w:tblGrid>
      <w:tr>
        <w:trPr/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Kriterium</w:t>
            </w:r>
          </w:p>
        </w:tc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Gew.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Tkinter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Kivy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PyQt6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Fokus-Begründung</w:t>
            </w:r>
          </w:p>
        </w:tc>
      </w:tr>
      <w:tr>
        <w:trPr/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Grafik-Perfor-mance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2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Pixelba-siert</w:t>
            </w:r>
          </w:p>
        </w:tc>
        <w:tc>
          <w:tcPr>
            <w:tcW w:w="13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4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OpenGL, GPU-Last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5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Scene-Graph</w:t>
            </w:r>
          </w:p>
        </w:tc>
        <w:tc>
          <w:tcPr>
            <w:tcW w:w="2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Die QGraphicsView-Architektur verwaltet Objekte effizienter als reines Pixel-Zeichnen.</w:t>
            </w:r>
          </w:p>
        </w:tc>
      </w:tr>
      <w:tr>
        <w:trPr/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Threading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2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Blockie-rend</w:t>
            </w:r>
          </w:p>
        </w:tc>
        <w:tc>
          <w:tcPr>
            <w:tcW w:w="13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3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Umständlich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5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Signal-Slot</w:t>
            </w:r>
          </w:p>
        </w:tc>
        <w:tc>
          <w:tcPr>
            <w:tcW w:w="2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QThread entkoppelt Simulation und GUI sauber, verhindert "Einfrieren"</w:t>
            </w:r>
          </w:p>
        </w:tc>
      </w:tr>
      <w:tr>
        <w:trPr/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Widget-Umfang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2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Veraltet, Basic</w:t>
            </w:r>
          </w:p>
        </w:tc>
        <w:tc>
          <w:tcPr>
            <w:tcW w:w="13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3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Mobile-Fokus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5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Native Profi-Widgets</w:t>
            </w:r>
          </w:p>
        </w:tc>
        <w:tc>
          <w:tcPr>
            <w:tcW w:w="2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Professionelle Eingabeelemente und Layouts wirken in Qt nativ und modern, während Tkinter oft veraltet aussieht.</w:t>
            </w:r>
          </w:p>
        </w:tc>
      </w:tr>
      <w:tr>
        <w:trPr/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Ökosys-tem (Graphen)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3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Matplotlib</w:t>
            </w:r>
          </w:p>
        </w:tc>
        <w:tc>
          <w:tcPr>
            <w:tcW w:w="13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2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 xml:space="preserve"> </w:t>
            </w:r>
            <w:r>
              <w:rPr/>
              <w:t>Multimedia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5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PyQtGraph</w:t>
            </w:r>
          </w:p>
        </w:tc>
        <w:tc>
          <w:tcPr>
            <w:tcW w:w="2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Nahtlose Integration von PyQtGraph für schnelle Echtzeit-Auswertungen.</w:t>
            </w:r>
          </w:p>
        </w:tc>
      </w:tr>
      <w:tr>
        <w:trPr/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Doku &amp; Communi-ty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5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Sehr hoch</w:t>
            </w:r>
          </w:p>
        </w:tc>
        <w:tc>
          <w:tcPr>
            <w:tcW w:w="13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3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Mittel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4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Industrie-standard</w:t>
            </w:r>
          </w:p>
        </w:tc>
        <w:tc>
          <w:tcPr>
            <w:tcW w:w="2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Exzellente Dokumentation und Industriestandard sichern schnelle Problemlösung.</w:t>
            </w:r>
          </w:p>
        </w:tc>
      </w:tr>
      <w:tr>
        <w:trPr/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UX / Respon-sivität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2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Starr</w:t>
            </w:r>
          </w:p>
        </w:tc>
        <w:tc>
          <w:tcPr>
            <w:tcW w:w="13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4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Flexibel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5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Layout-Manager</w:t>
            </w:r>
          </w:p>
        </w:tc>
        <w:tc>
          <w:tcPr>
            <w:tcW w:w="2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Layouts passen sich automatisch an die Fenstergröße an.</w:t>
            </w:r>
          </w:p>
        </w:tc>
      </w:tr>
      <w:tr>
        <w:trPr/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Einarbei-tungszeit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5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sehr einfach</w:t>
            </w:r>
          </w:p>
        </w:tc>
        <w:tc>
          <w:tcPr>
            <w:tcW w:w="13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2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eigene Sprache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jc w:val="left"/>
              <w:rPr/>
            </w:pPr>
            <w:r>
              <w:rPr/>
              <w:t>3</w:t>
            </w:r>
          </w:p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steile Kurve</w:t>
            </w:r>
          </w:p>
        </w:tc>
        <w:tc>
          <w:tcPr>
            <w:tcW w:w="2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Bessere OOP-Struktur rechtfertigt den höheren initialen Lernaufwand.</w:t>
            </w:r>
          </w:p>
        </w:tc>
      </w:tr>
      <w:tr>
        <w:trPr/>
        <w:tc>
          <w:tcPr>
            <w:tcW w:w="11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Gesamt-Nutzwert</w:t>
            </w:r>
          </w:p>
        </w:tc>
        <w:tc>
          <w:tcPr>
            <w:tcW w:w="6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107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66</w:t>
            </w:r>
          </w:p>
        </w:tc>
        <w:tc>
          <w:tcPr>
            <w:tcW w:w="13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74</w:t>
            </w:r>
          </w:p>
        </w:tc>
        <w:tc>
          <w:tcPr>
            <w:tcW w:w="12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/>
            </w:pPr>
            <w:r>
              <w:rPr/>
              <w:t>113</w:t>
            </w:r>
          </w:p>
        </w:tc>
        <w:tc>
          <w:tcPr>
            <w:tcW w:w="2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elleninhalt"/>
              <w:spacing w:before="0" w:after="1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PyQt6 gewinnt deutlich.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8" w:name="__RefHeading___Toc1961_2991605050"/>
      <w:bookmarkEnd w:id="8"/>
      <w:r>
        <w:rPr/>
        <w:t>Ergebnis und Begründung der Entscheidung</w:t>
      </w:r>
      <w:bookmarkStart w:id="9" w:name="_Toc208314184_Kopie_1_Kopie_1"/>
    </w:p>
    <w:p>
      <w:pPr>
        <w:pStyle w:val="BodyText"/>
        <w:rPr/>
      </w:pPr>
      <w:bookmarkEnd w:id="9"/>
      <w:r>
        <w:rPr/>
        <w:t xml:space="preserve">Die Entscheidung fiel eindeutig auf </w:t>
      </w:r>
      <w:r>
        <w:rPr>
          <w:b/>
        </w:rPr>
        <w:t>PyQt6</w:t>
      </w:r>
      <w:r>
        <w:rPr/>
        <w:t xml:space="preserve">. Ausschlaggebend war neben der reinen Performance vor allem die </w:t>
      </w:r>
      <w:r>
        <w:rPr>
          <w:b w:val="false"/>
          <w:bCs w:val="false"/>
        </w:rPr>
        <w:t>architektonische Eignung</w:t>
      </w:r>
      <w:r>
        <w:rPr/>
        <w:t xml:space="preserve"> für ein Schulprojekt mit Simulationscharakter.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Architektur &amp; OOP:</w:t>
      </w:r>
      <w:r>
        <w:rPr/>
        <w:t xml:space="preserve"> PyQt6 erzwingt durch sein objektorientiertes Design (z. B. Ableiten von QGraphicsItem für Kunden) eine saubere Softwarestruktur. Dies verhindert "Spaghetti-Code" und fördert das Verständnis für professionelle Softwareentwicklung.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Performance (Scene Graph):</w:t>
      </w:r>
      <w:r>
        <w:rPr/>
        <w:t xml:space="preserve"> Die Anforderung, Kundenbewegungen flüssig zu animieren, wird durch die QGraphicsItem-Architektur von Qt optimal erfüllt. Im Gegensatz zu Tkinter, das oft den gesamten Bildbereich neu zeichnen muss ("Redraw"), nutzt Qt einen optimierten </w:t>
      </w:r>
      <w:r>
        <w:rPr>
          <w:b w:val="false"/>
          <w:bCs w:val="false"/>
          <w:position w:val="0"/>
          <w:sz w:val="22"/>
          <w:sz w:val="22"/>
          <w:vertAlign w:val="baseline"/>
        </w:rPr>
        <w:t>Szenengraphen</w:t>
      </w:r>
      <w:r>
        <w:rPr/>
        <w:t>. Das bedeutet, das Framework "weiß", wo sich Objekte befinden und berechnet nur die pixelgenauen Änderungen, was CPU-Ressourcen spart.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Stabilität (Threading):</w:t>
      </w:r>
      <w:r>
        <w:rPr/>
        <w:t xml:space="preserve"> Durch die saubere Trennung von GUI und Logik mittels QThread und Signalen wird sichergestellt, dass die Oberfläche auch bei intensiven Berechnungen reaktionsfähig bleibt ("Thread-Safety").</w:t>
      </w:r>
    </w:p>
    <w:p>
      <w:pPr>
        <w:pStyle w:val="BodyText"/>
        <w:spacing w:before="0" w:after="1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985" w:right="1701" w:gutter="0" w:header="709" w:top="1365" w:footer="709" w:bottom="170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right"/>
      <w:rPr/>
    </w:pPr>
    <w:bookmarkStart w:id="10" w:name="PageNumWizard_FOOTER_Standard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bookmarkEnd w:id="1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12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12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opfzeilelinks"/>
      <w:spacing w:before="0" w:after="12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44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2160" w:hanging="180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Noto Sans Arabic"/>
        <w:kern w:val="2"/>
        <w:sz w:val="24"/>
        <w:szCs w:val="24"/>
        <w:lang w:val="de-DE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120"/>
      <w:jc w:val="both"/>
    </w:pPr>
    <w:rPr>
      <w:rFonts w:ascii="Times New Roman" w:hAnsi="Times New Roman" w:eastAsia="Aptos" w:cs="Noto Sans Arabic"/>
      <w:color w:val="auto"/>
      <w:kern w:val="2"/>
      <w:sz w:val="22"/>
      <w:szCs w:val="24"/>
      <w:lang w:val="de-DE" w:eastAsia="en-US" w:bidi="ar-SA"/>
    </w:rPr>
  </w:style>
  <w:style w:type="paragraph" w:styleId="Heading1">
    <w:name w:val="Heading 1"/>
    <w:basedOn w:val="Normal"/>
    <w:next w:val="Normal"/>
    <w:link w:val="berschrift1Zchn"/>
    <w:qFormat/>
    <w:pPr>
      <w:keepNext w:val="true"/>
      <w:pageBreakBefore/>
      <w:numPr>
        <w:ilvl w:val="0"/>
        <w:numId w:val="0"/>
      </w:numPr>
      <w:spacing w:before="240" w:after="120"/>
      <w:jc w:val="left"/>
      <w:outlineLvl w:val="0"/>
    </w:pPr>
    <w:rPr>
      <w:rFonts w:eastAsia="Aptos" w:cs="Noto Sans Arabic"/>
      <w:b/>
      <w:color w:themeColor="dark1" w:val="000000"/>
      <w:sz w:val="36"/>
      <w:szCs w:val="40"/>
    </w:rPr>
  </w:style>
  <w:style w:type="paragraph" w:styleId="Heading2">
    <w:name w:val="Heading 2"/>
    <w:basedOn w:val="Normal"/>
    <w:next w:val="Normal"/>
    <w:link w:val="berschrift2Zchn"/>
    <w:qFormat/>
    <w:pPr>
      <w:keepNext w:val="true"/>
      <w:keepLines/>
      <w:numPr>
        <w:ilvl w:val="0"/>
        <w:numId w:val="0"/>
      </w:numPr>
      <w:spacing w:before="120" w:after="60"/>
      <w:jc w:val="left"/>
      <w:outlineLvl w:val="1"/>
    </w:pPr>
    <w:rPr>
      <w:rFonts w:eastAsia="Aptos" w:cs="Noto Sans Arabic"/>
      <w:b/>
      <w:color w:themeColor="dark1" w:val="000000"/>
      <w:sz w:val="28"/>
      <w:szCs w:val="32"/>
    </w:rPr>
  </w:style>
  <w:style w:type="paragraph" w:styleId="Heading3">
    <w:name w:val="Heading 3"/>
    <w:basedOn w:val="Normal"/>
    <w:next w:val="Normal"/>
    <w:link w:val="berschrift3Zchn"/>
    <w:qFormat/>
    <w:pPr>
      <w:keepNext w:val="true"/>
      <w:numPr>
        <w:ilvl w:val="0"/>
        <w:numId w:val="0"/>
      </w:numPr>
      <w:spacing w:before="120" w:after="60"/>
      <w:jc w:val="left"/>
      <w:outlineLvl w:val="2"/>
    </w:pPr>
    <w:rPr>
      <w:rFonts w:eastAsia="Aptos" w:cs="Noto Sans Arabic"/>
      <w:b/>
      <w:color w:themeColor="dark1" w:val="000000"/>
      <w:sz w:val="24"/>
      <w:szCs w:val="28"/>
    </w:rPr>
  </w:style>
  <w:style w:type="paragraph" w:styleId="Heading4">
    <w:name w:val="Heading 4"/>
    <w:basedOn w:val="Normal"/>
    <w:next w:val="Normal"/>
    <w:link w:val="berschrift4Zchn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Noto Sans Arabic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Noto Sans Arabic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qFormat/>
    <w:pPr>
      <w:keepNext w:val="true"/>
      <w:keepLines/>
      <w:numPr>
        <w:ilvl w:val="0"/>
        <w:numId w:val="0"/>
      </w:numPr>
      <w:spacing w:before="40" w:after="120"/>
      <w:outlineLvl w:val="5"/>
    </w:pPr>
    <w:rPr>
      <w:rFonts w:eastAsia="Aptos" w:cs="Noto Sans Arabic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berschrift7Zchn"/>
    <w:qFormat/>
    <w:pPr>
      <w:keepNext w:val="true"/>
      <w:keepLines/>
      <w:numPr>
        <w:ilvl w:val="0"/>
        <w:numId w:val="0"/>
      </w:numPr>
      <w:spacing w:before="40" w:after="120"/>
      <w:outlineLvl w:val="6"/>
    </w:pPr>
    <w:rPr>
      <w:rFonts w:eastAsia="Aptos" w:cs="Noto Sans Arabic"/>
      <w:color w:themeColor="dark1" w:themeTint="a6" w:val="595959"/>
    </w:rPr>
  </w:style>
  <w:style w:type="paragraph" w:styleId="Heading8">
    <w:name w:val="Heading 8"/>
    <w:basedOn w:val="Normal"/>
    <w:next w:val="Normal"/>
    <w:link w:val="berschrift8Zchn"/>
    <w:qFormat/>
    <w:pPr>
      <w:keepNext w:val="true"/>
      <w:keepLines/>
      <w:numPr>
        <w:ilvl w:val="0"/>
        <w:numId w:val="0"/>
      </w:numPr>
      <w:outlineLvl w:val="7"/>
    </w:pPr>
    <w:rPr>
      <w:rFonts w:eastAsia="Aptos" w:cs="Noto Sans Arabic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berschrift9Zchn"/>
    <w:qFormat/>
    <w:pPr>
      <w:keepNext w:val="true"/>
      <w:keepLines/>
      <w:numPr>
        <w:ilvl w:val="0"/>
        <w:numId w:val="0"/>
      </w:numPr>
      <w:outlineLvl w:val="8"/>
    </w:pPr>
    <w:rPr>
      <w:rFonts w:eastAsia="Aptos" w:cs="Noto Sans Arabic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berschrift1Zchn">
    <w:name w:val="Überschrift 1 Zchn"/>
    <w:basedOn w:val="DefaultParagraphFont"/>
    <w:qFormat/>
    <w:rPr>
      <w:rFonts w:ascii="Times New Roman" w:hAnsi="Times New Roman" w:eastAsia="Aptos" w:cs="Noto Sans Arabic"/>
      <w:b/>
      <w:color w:themeColor="dark1" w:val="000000"/>
      <w:sz w:val="36"/>
      <w:szCs w:val="40"/>
    </w:rPr>
  </w:style>
  <w:style w:type="character" w:styleId="berschrift2Zchn">
    <w:name w:val="Überschrift 2 Zchn"/>
    <w:basedOn w:val="DefaultParagraphFont"/>
    <w:qFormat/>
    <w:rPr>
      <w:rFonts w:ascii="Times New Roman" w:hAnsi="Times New Roman" w:eastAsia="Aptos" w:cs="Noto Sans Arabic"/>
      <w:b/>
      <w:color w:themeColor="dark1" w:val="000000"/>
      <w:sz w:val="28"/>
      <w:szCs w:val="32"/>
    </w:rPr>
  </w:style>
  <w:style w:type="character" w:styleId="berschrift3Zchn">
    <w:name w:val="Überschrift 3 Zchn"/>
    <w:basedOn w:val="DefaultParagraphFont"/>
    <w:qFormat/>
    <w:rPr>
      <w:rFonts w:ascii="Times New Roman" w:hAnsi="Times New Roman" w:eastAsia="Aptos" w:cs="Noto Sans Arabic"/>
      <w:b/>
      <w:color w:themeColor="dark1" w:val="000000"/>
      <w:szCs w:val="28"/>
    </w:rPr>
  </w:style>
  <w:style w:type="character" w:styleId="berschrift4Zchn">
    <w:name w:val="Überschrift 4 Zchn"/>
    <w:basedOn w:val="DefaultParagraphFont"/>
    <w:qFormat/>
    <w:rPr>
      <w:rFonts w:eastAsia="Aptos" w:cs="Noto Sans Arabic"/>
      <w:i/>
      <w:iCs/>
      <w:color w:themeColor="accent1" w:themeShade="bf" w:val="0F4761"/>
    </w:rPr>
  </w:style>
  <w:style w:type="character" w:styleId="berschrift5Zchn">
    <w:name w:val="Überschrift 5 Zchn"/>
    <w:basedOn w:val="DefaultParagraphFont"/>
    <w:qFormat/>
    <w:rPr>
      <w:rFonts w:eastAsia="Aptos" w:cs="Noto Sans Arabic"/>
      <w:color w:themeColor="accent1" w:themeShade="bf" w:val="0F4761"/>
    </w:rPr>
  </w:style>
  <w:style w:type="character" w:styleId="berschrift6Zchn">
    <w:name w:val="Überschrift 6 Zchn"/>
    <w:basedOn w:val="DefaultParagraphFont"/>
    <w:qFormat/>
    <w:rPr>
      <w:rFonts w:eastAsia="Aptos" w:cs="Noto Sans Arabic"/>
      <w:i/>
      <w:iCs/>
      <w:color w:themeColor="dark1" w:themeTint="a6" w:val="595959"/>
    </w:rPr>
  </w:style>
  <w:style w:type="character" w:styleId="berschrift7Zchn">
    <w:name w:val="Überschrift 7 Zchn"/>
    <w:basedOn w:val="DefaultParagraphFont"/>
    <w:qFormat/>
    <w:rPr>
      <w:rFonts w:eastAsia="Aptos" w:cs="Noto Sans Arabic"/>
      <w:color w:themeColor="dark1" w:themeTint="a6" w:val="595959"/>
    </w:rPr>
  </w:style>
  <w:style w:type="character" w:styleId="berschrift8Zchn">
    <w:name w:val="Überschrift 8 Zchn"/>
    <w:basedOn w:val="DefaultParagraphFont"/>
    <w:qFormat/>
    <w:rPr>
      <w:rFonts w:eastAsia="Aptos" w:cs="Noto Sans Arabic"/>
      <w:i/>
      <w:iCs/>
      <w:color w:themeColor="dark1" w:themeTint="d8" w:val="272727"/>
    </w:rPr>
  </w:style>
  <w:style w:type="character" w:styleId="berschrift9Zchn">
    <w:name w:val="Überschrift 9 Zchn"/>
    <w:basedOn w:val="DefaultParagraphFont"/>
    <w:qFormat/>
    <w:rPr>
      <w:rFonts w:eastAsia="Aptos" w:cs="Noto Sans Arabic"/>
      <w:color w:themeColor="dark1" w:themeTint="d8" w:val="272727"/>
    </w:rPr>
  </w:style>
  <w:style w:type="character" w:styleId="TitelZchn">
    <w:name w:val="Titel Zchn"/>
    <w:basedOn w:val="DefaultParagraphFont"/>
    <w:qFormat/>
    <w:rPr>
      <w:rFonts w:ascii="Aptos Display" w:hAnsi="Aptos Display" w:eastAsia="Aptos" w:cs="Noto Sans Arabic"/>
      <w:spacing w:val="-10"/>
      <w:kern w:val="2"/>
      <w:sz w:val="56"/>
      <w:szCs w:val="56"/>
    </w:rPr>
  </w:style>
  <w:style w:type="character" w:styleId="UntertitelZchn">
    <w:name w:val="Untertitel Zchn"/>
    <w:basedOn w:val="DefaultParagraphFont"/>
    <w:qFormat/>
    <w:rPr>
      <w:rFonts w:eastAsia="Aptos" w:cs="Noto Sans Arabic"/>
      <w:color w:themeColor="dark1" w:themeTint="a6" w:val="595959"/>
      <w:spacing w:val="15"/>
      <w:sz w:val="28"/>
      <w:szCs w:val="28"/>
    </w:rPr>
  </w:style>
  <w:style w:type="character" w:styleId="ZitatZchn">
    <w:name w:val="Zitat Zchn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ivesZitatZchn">
    <w:name w:val="Intensives Zitat Zchn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KopfzeileZchn">
    <w:name w:val="Kopfzeile Zchn"/>
    <w:basedOn w:val="DefaultParagraphFont"/>
    <w:qFormat/>
    <w:rPr>
      <w:rFonts w:ascii="Times New Roman" w:hAnsi="Times New Roman"/>
      <w:sz w:val="22"/>
    </w:rPr>
  </w:style>
  <w:style w:type="character" w:styleId="FuzeileZchn">
    <w:name w:val="Fußzeile Zchn"/>
    <w:basedOn w:val="DefaultParagraphFont"/>
    <w:qFormat/>
    <w:rPr>
      <w:rFonts w:ascii="Times New Roman" w:hAnsi="Times New Roman"/>
      <w:sz w:val="22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rong">
    <w:name w:val="Strong"/>
    <w:basedOn w:val="DefaultParagraphFont"/>
    <w:qFormat/>
    <w:rPr>
      <w:b/>
      <w:bCs/>
    </w:rPr>
  </w:style>
  <w:style w:type="character" w:styleId="Verzeichnissprung">
    <w:name w:val="Verzeichnissprung"/>
    <w:qFormat/>
    <w:rPr/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Quelltext">
    <w:name w:val="Quelltext"/>
    <w:qFormat/>
    <w:rPr>
      <w:rFonts w:ascii="Liberation Mono" w:hAnsi="Liberation Mono" w:eastAsia="Liberation Mono" w:cs="Liberation Mono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i/>
      <w:iCs/>
      <w:color w:themeColor="dark2" w:val="0E2841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qFormat/>
    <w:pPr>
      <w:spacing w:lineRule="auto" w:line="240" w:before="0" w:after="80"/>
      <w:contextualSpacing/>
    </w:pPr>
    <w:rPr>
      <w:rFonts w:ascii="Aptos Display" w:hAnsi="Aptos Display" w:eastAsia="Aptos" w:cs="Noto Sans Arabic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qFormat/>
    <w:pPr>
      <w:ind w:firstLine="709"/>
    </w:pPr>
    <w:rPr>
      <w:rFonts w:eastAsia="Aptos" w:cs="Noto Sans Arabic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qFormat/>
    <w:pPr>
      <w:spacing w:before="160" w:after="12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2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FuzeileZchn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Abbildung">
    <w:name w:val="Abbildung"/>
    <w:basedOn w:val="Subtitle"/>
    <w:qFormat/>
    <w:pPr>
      <w:spacing w:lineRule="auto" w:line="240" w:before="120" w:after="120"/>
      <w:jc w:val="center"/>
    </w:pPr>
    <w:rPr>
      <w:b/>
      <w:i/>
      <w:sz w:val="20"/>
    </w:rPr>
  </w:style>
  <w:style w:type="paragraph" w:styleId="TOC1">
    <w:name w:val="TOC 1"/>
    <w:basedOn w:val="Normal"/>
    <w:next w:val="Normal"/>
    <w:autoRedefine/>
    <w:pPr>
      <w:keepNext w:val="true"/>
      <w:keepLines/>
      <w:tabs>
        <w:tab w:val="clear" w:pos="708"/>
        <w:tab w:val="right" w:pos="8210" w:leader="dot"/>
      </w:tabs>
      <w:spacing w:lineRule="auto" w:line="240" w:before="120" w:after="120"/>
      <w:jc w:val="left"/>
    </w:pPr>
    <w:rPr>
      <w:b/>
      <w:bCs/>
      <w:color w:themeColor="dark1" w:val="000000"/>
      <w:szCs w:val="20"/>
    </w:rPr>
  </w:style>
  <w:style w:type="paragraph" w:styleId="TOC2">
    <w:name w:val="TOC 2"/>
    <w:basedOn w:val="Normal"/>
    <w:next w:val="Normal"/>
    <w:autoRedefine/>
    <w:pPr>
      <w:keepLines/>
      <w:spacing w:lineRule="auto" w:line="240" w:before="120" w:after="120"/>
      <w:ind w:left="221"/>
      <w:jc w:val="left"/>
    </w:pPr>
    <w:rPr>
      <w:color w:themeColor="dark1" w:val="000000"/>
      <w:szCs w:val="20"/>
    </w:rPr>
  </w:style>
  <w:style w:type="paragraph" w:styleId="TOC3">
    <w:name w:val="TOC 3"/>
    <w:basedOn w:val="Normal"/>
    <w:next w:val="Normal"/>
    <w:autoRedefine/>
    <w:pPr>
      <w:spacing w:lineRule="auto" w:line="240" w:before="120" w:after="120"/>
      <w:ind w:left="442"/>
      <w:jc w:val="left"/>
    </w:pPr>
    <w:rPr>
      <w:iCs/>
      <w:color w:themeColor="dark1" w:val="000000"/>
      <w:szCs w:val="20"/>
    </w:rPr>
  </w:style>
  <w:style w:type="paragraph" w:styleId="TOC4">
    <w:name w:val="TOC 4"/>
    <w:basedOn w:val="Normal"/>
    <w:next w:val="Normal"/>
    <w:autoRedefine/>
    <w:pPr>
      <w:ind w:left="660"/>
      <w:jc w:val="left"/>
    </w:pPr>
    <w:rPr>
      <w:rFonts w:ascii="Aptos" w:hAnsi="Aptos"/>
      <w:sz w:val="18"/>
      <w:szCs w:val="18"/>
    </w:rPr>
  </w:style>
  <w:style w:type="paragraph" w:styleId="TOC5">
    <w:name w:val="TOC 5"/>
    <w:basedOn w:val="Normal"/>
    <w:next w:val="Normal"/>
    <w:autoRedefine/>
    <w:pPr>
      <w:ind w:left="880"/>
      <w:jc w:val="left"/>
    </w:pPr>
    <w:rPr>
      <w:rFonts w:ascii="Aptos" w:hAnsi="Aptos"/>
      <w:sz w:val="18"/>
      <w:szCs w:val="18"/>
    </w:rPr>
  </w:style>
  <w:style w:type="paragraph" w:styleId="TOC6">
    <w:name w:val="TOC 6"/>
    <w:basedOn w:val="Normal"/>
    <w:next w:val="Normal"/>
    <w:autoRedefine/>
    <w:pPr>
      <w:ind w:left="1100"/>
      <w:jc w:val="left"/>
    </w:pPr>
    <w:rPr>
      <w:rFonts w:ascii="Aptos" w:hAnsi="Aptos"/>
      <w:sz w:val="18"/>
      <w:szCs w:val="18"/>
    </w:rPr>
  </w:style>
  <w:style w:type="paragraph" w:styleId="TOC7">
    <w:name w:val="TOC 7"/>
    <w:basedOn w:val="Normal"/>
    <w:next w:val="Normal"/>
    <w:autoRedefine/>
    <w:pPr>
      <w:ind w:left="1320"/>
      <w:jc w:val="left"/>
    </w:pPr>
    <w:rPr>
      <w:rFonts w:ascii="Aptos" w:hAnsi="Aptos"/>
      <w:sz w:val="18"/>
      <w:szCs w:val="18"/>
    </w:rPr>
  </w:style>
  <w:style w:type="paragraph" w:styleId="TOC8">
    <w:name w:val="TOC 8"/>
    <w:basedOn w:val="Normal"/>
    <w:next w:val="Normal"/>
    <w:autoRedefine/>
    <w:pPr>
      <w:ind w:left="1540"/>
      <w:jc w:val="left"/>
    </w:pPr>
    <w:rPr>
      <w:rFonts w:ascii="Aptos" w:hAnsi="Aptos"/>
      <w:sz w:val="18"/>
      <w:szCs w:val="18"/>
    </w:rPr>
  </w:style>
  <w:style w:type="paragraph" w:styleId="TOC9">
    <w:name w:val="TOC 9"/>
    <w:basedOn w:val="Normal"/>
    <w:next w:val="Normal"/>
    <w:autoRedefine/>
    <w:pPr>
      <w:ind w:left="1760"/>
      <w:jc w:val="left"/>
    </w:pPr>
    <w:rPr>
      <w:rFonts w:ascii="Aptos" w:hAnsi="Aptos"/>
      <w:sz w:val="18"/>
      <w:szCs w:val="18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qFormat/>
    <w:pPr>
      <w:keepLines/>
      <w:pageBreakBefore w:val="false"/>
      <w:spacing w:lineRule="auto" w:line="259" w:before="240" w:after="0"/>
      <w:outlineLvl w:val="9"/>
    </w:pPr>
    <w:rPr>
      <w:rFonts w:ascii="Aptos Display" w:hAnsi="Aptos Display"/>
      <w:b w:val="false"/>
      <w:color w:themeColor="accent1" w:themeShade="bf" w:val="0F4761"/>
      <w:kern w:val="0"/>
      <w:sz w:val="32"/>
      <w:szCs w:val="32"/>
      <w:lang w:eastAsia="de-DE"/>
    </w:rPr>
  </w:style>
  <w:style w:type="paragraph" w:styleId="whitespace-normal">
    <w:name w:val="whitespace-normal"/>
    <w:basedOn w:val="Normal"/>
    <w:qFormat/>
    <w:pPr>
      <w:spacing w:lineRule="auto" w:line="240" w:before="280" w:after="280"/>
      <w:jc w:val="left"/>
    </w:pPr>
    <w:rPr>
      <w:rFonts w:eastAsia="Times New Roman" w:cs="Times New Roman"/>
      <w:kern w:val="0"/>
      <w:sz w:val="24"/>
      <w:lang w:eastAsia="de-DE"/>
    </w:rPr>
  </w:style>
  <w:style w:type="paragraph" w:styleId="Kopfzeilelinks">
    <w:name w:val="Kopfzeile links"/>
    <w:basedOn w:val="Header"/>
    <w:qFormat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KeineListe">
    <w:name w:val="Keine List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LibreOffice/24.2.7.2$Linux_X86_64 LibreOffice_project/420$Build-2</Application>
  <AppVersion>15.0000</AppVersion>
  <Pages>4</Pages>
  <Words>529</Words>
  <Characters>3753</Characters>
  <CharactersWithSpaces>4168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2025-10-28T10:02:00Z</dcterms:created>
  <dc:creator>Nico Hoffmann</dc:creator>
  <dc:description/>
  <dc:language>de-DE</dc:language>
  <cp:lastModifiedBy/>
  <cp:lastPrinted>2025-12-09T13:13:59Z</cp:lastPrinted>
  <dcterms:modified xsi:type="dcterms:W3CDTF">2025-12-09T13:23:26Z</dcterms:modified>
  <cp:revision>71</cp:revision>
  <dc:subject/>
  <dc:title>Schulische Projektarbeit „Wahlsimulation – Wie beeinflussen externe Faktoren das Ergebnis einer Wahl“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709b0d-b46b-4f1e-a930-0bb7dae27672_ActionId">
    <vt:lpwstr>724b31d0-5670-4318-8bc7-90bf941eccf1</vt:lpwstr>
  </property>
  <property fmtid="{D5CDD505-2E9C-101B-9397-08002B2CF9AE}" pid="3" name="MSIP_Label_d6709b0d-b46b-4f1e-a930-0bb7dae27672_ContentBits">
    <vt:lpwstr>0</vt:lpwstr>
  </property>
  <property fmtid="{D5CDD505-2E9C-101B-9397-08002B2CF9AE}" pid="4" name="MSIP_Label_d6709b0d-b46b-4f1e-a930-0bb7dae27672_Enabled">
    <vt:lpwstr>true</vt:lpwstr>
  </property>
  <property fmtid="{D5CDD505-2E9C-101B-9397-08002B2CF9AE}" pid="5" name="MSIP_Label_d6709b0d-b46b-4f1e-a930-0bb7dae27672_Method">
    <vt:lpwstr>Privileged</vt:lpwstr>
  </property>
  <property fmtid="{D5CDD505-2E9C-101B-9397-08002B2CF9AE}" pid="6" name="MSIP_Label_d6709b0d-b46b-4f1e-a930-0bb7dae27672_Name">
    <vt:lpwstr>defa4170-0d19-0005-0000-bc88714345d2</vt:lpwstr>
  </property>
  <property fmtid="{D5CDD505-2E9C-101B-9397-08002B2CF9AE}" pid="7" name="MSIP_Label_d6709b0d-b46b-4f1e-a930-0bb7dae27672_SetDate">
    <vt:lpwstr>2025-09-09T10:53:04Z</vt:lpwstr>
  </property>
  <property fmtid="{D5CDD505-2E9C-101B-9397-08002B2CF9AE}" pid="8" name="MSIP_Label_d6709b0d-b46b-4f1e-a930-0bb7dae27672_SiteId">
    <vt:lpwstr>4ae01105-2790-4652-bbcb-c6dd32603e18</vt:lpwstr>
  </property>
  <property fmtid="{D5CDD505-2E9C-101B-9397-08002B2CF9AE}" pid="9" name="MSIP_Label_d6709b0d-b46b-4f1e-a930-0bb7dae27672_Tag">
    <vt:lpwstr>10, 0, 1, 1</vt:lpwstr>
  </property>
</Properties>
</file>