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  <w:lang w:val="en-US" w:eastAsia="zh-CN"/>
        </w:rPr>
        <w:t>智能水表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0" w:name="Df45S"/>
      <w:bookmarkEnd w:id="0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一、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表种类添加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设定创建的水表类型及计量单位。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5" name="图片 1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1" w:name="jprS2"/>
      <w:bookmarkEnd w:id="1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二、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新建表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选择对应表种类，点击【新建表】进行对应表信息填写。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分表：对不同部分或房间的电能消耗进行独立测量和计费。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总表：整个园区统一应用的表视为总表。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分摊表： 需要涉及分摊费用的就用分摊表 。当设置为分摊表，会根据对应选择的租户进行用量分摊。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30" name="图片 1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6" name="图片 1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2" w:name="TnUuP"/>
      <w:bookmarkEnd w:id="2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三、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抄表设置-添加抄表计划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3" w:name="wWbVW"/>
      <w:bookmarkEnd w:id="3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1、单个水单表添加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26" name="图片 1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时间要求：设置的计划周期任务时间需要工作人员在多长时间内完成。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计划周期：指派抄表人员定时定点进行抄表任务。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798320" cy="2567940"/>
            <wp:effectExtent l="0" t="0" r="0" b="7620"/>
            <wp:docPr id="17" name="图片 1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VTZQw"/>
      <w:bookmarkEnd w:id="4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2 、批量导入水表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通过表格导入水</w:t>
      </w:r>
      <w:r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val="en-US" w:eastAsia="zh-CN"/>
        </w:rPr>
        <w:t>表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分表信息。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27" name="图片 2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482340" cy="1386840"/>
            <wp:effectExtent l="0" t="0" r="7620" b="0"/>
            <wp:docPr id="22" name="图片 2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5" w:name="Ku8Ms"/>
      <w:bookmarkEnd w:id="5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四、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价格标准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8" name="图片 2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设置用</w:t>
      </w:r>
      <w:bookmarkStart w:id="13" w:name="_GoBack"/>
      <w:bookmarkEnd w:id="13"/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水区间的单价标准。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2362200"/>
            <wp:effectExtent l="0" t="0" r="0" b="0"/>
            <wp:docPr id="25" name="图片 23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6" w:name="ie7bP"/>
      <w:bookmarkEnd w:id="6"/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五、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智能硬件配置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连接水电智能硬件后，当租客账单逾期，在规定时间内末及时缴纳欠费，则对其水电进行断闸操作，缴费后自动合闸进行供应。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注意：每天10时左右自动检测一次表欠费状态。存在欠费账单，则会自动给租客发送短信、站内信、公众号消息。欠费账单生成时间+宽限天数大于当前的则会自动断闸，缴纳欠款后自动合闸。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硬件品牌支持：武汉时波、云丁、宜管家水电表开放平台（支持小工匠、辰域、超仪等水电表）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874260" cy="2317115"/>
            <wp:effectExtent l="0" t="0" r="2540" b="14605"/>
            <wp:docPr id="21" name="图片 24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60620" cy="2567940"/>
            <wp:effectExtent l="0" t="0" r="7620" b="7620"/>
            <wp:docPr id="19" name="图片 25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5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ifZDt"/>
      <w:bookmarkEnd w:id="7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六、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水电在线抄录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8" w:name="A4x1T"/>
      <w:bookmarkEnd w:id="8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1 、移动端抄录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抄表负责人会收到任务提醒，进入任务即可将线下的读数录入。点击按钮即可拍照上传。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975360" cy="1973580"/>
            <wp:effectExtent l="0" t="0" r="0" b="7620"/>
            <wp:docPr id="20" name="图片 26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6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998220" cy="2015490"/>
            <wp:effectExtent l="0" t="0" r="7620" b="11430"/>
            <wp:docPr id="23" name="图片 27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7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9" w:name="AWcPc"/>
      <w:bookmarkEnd w:id="9"/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2 、电脑端抄录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1 )单个抄录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点击进入相应的水电表，进行详情查看。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516380"/>
            <wp:effectExtent l="0" t="0" r="7620" b="7620"/>
            <wp:docPr id="24" name="图片 28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8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添加该水电表的用量信息。 </w:t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28" name="图片 29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2 ）导入抄表记录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2164080"/>
            <wp:effectExtent l="0" t="0" r="0" b="0"/>
            <wp:docPr id="29" name="图片 30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1493520"/>
            <wp:effectExtent l="0" t="0" r="0" b="0"/>
            <wp:docPr id="33" name="图片 31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0" w:name="CUe2L"/>
      <w:bookmarkEnd w:id="1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七、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账单生成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1 ）点击进入相应的水电表，进行详情查看。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ascii="宋体" w:eastAsia="宋体"/>
          <w:b/>
          <w:bCs/>
          <w:sz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hd w:val="clear" w:color="auto" w:fill="auto"/>
        </w:rPr>
        <w:t>提示：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hd w:val="clear" w:color="auto" w:fill="auto"/>
        </w:rPr>
        <w:t>选中的房源有租户存在的情况下才会生成对应账单详情；如果该房源没有对应租户存在则视为企业自行承担，不会进行账单生成。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hd w:val="clear" w:color="auto" w:fill="auto"/>
        </w:rPr>
        <w:t>如果使用公摊表，请先抄完所有分表再抄公摊表，并且上次抄表日期与本次抄表日期需要一致，才会生成分摊账单。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hd w:val="clear" w:color="auto" w:fill="auto"/>
        </w:rPr>
        <w:t>当房屋只签订了物业条款合同，水电抄表的分摊会读取物业面积。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516380"/>
            <wp:effectExtent l="0" t="0" r="7620" b="7620"/>
            <wp:docPr id="34" name="图片 32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 descr="IMG_27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2 ）针对抄表但为生成订单的抄表信息支持修改。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754880" cy="2567940"/>
            <wp:effectExtent l="0" t="0" r="0" b="7620"/>
            <wp:docPr id="35" name="图片 33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 descr="IMG_27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3 ）进入【账单详情】一键生成缴费账单。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2918460" cy="1478280"/>
            <wp:effectExtent l="0" t="0" r="7620" b="0"/>
            <wp:docPr id="38" name="图片 34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4" descr="IMG_27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533900" cy="2560320"/>
            <wp:effectExtent l="0" t="0" r="7620" b="0"/>
            <wp:docPr id="37" name="图片 35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 descr="IMG_27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273040" cy="2026920"/>
            <wp:effectExtent l="0" t="0" r="0" b="0"/>
            <wp:docPr id="36" name="图片 36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7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1" w:name="l1JVz"/>
      <w:bookmarkEnd w:id="11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八、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记录查询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1 ）管理员可在后台查看快照，核实与录入的读数是否一致，当出现不一致的情况能够及时修改。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982980" cy="1562100"/>
            <wp:effectExtent l="0" t="0" r="7620" b="7620"/>
            <wp:docPr id="39" name="图片 37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 descr="IMG_27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2 ）在抄表任务完成后，管理员即可一键生成水电账单。当存在未确认的快照，在生成时系统会自动提醒，避免遗漏。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40" name="图片 38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 descr="IMG_28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2" w:name="OC2Tx"/>
      <w:bookmarkEnd w:id="12"/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both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r>
        <w:rPr>
          <w:rFonts w:hint="eastAsia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九、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账单缴费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通过【财务】所有财务找到相应水电订单进行催缴以及生成缴费订单。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937760" cy="1424940"/>
            <wp:effectExtent l="0" t="0" r="0" b="7620"/>
            <wp:docPr id="31" name="图片 39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9" descr="IMG_28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572000" cy="2575560"/>
            <wp:effectExtent l="0" t="0" r="0" b="0"/>
            <wp:docPr id="32" name="图片 40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0" descr="IMG_28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6D2359E9"/>
    <w:rsid w:val="04A94DE4"/>
    <w:rsid w:val="1431122C"/>
    <w:rsid w:val="27AA13AC"/>
    <w:rsid w:val="566A6068"/>
    <w:rsid w:val="6D23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autoRedefine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2024-02-26T09:07:00Z</dcterms:created>
  <dc:creator>灯塔</dc:creator>
  <cp:lastModifiedBy>灯塔</cp:lastModifiedBy>
  <dcterms:modified xsi:type="dcterms:W3CDTF">2024-02-27T02:25:13Z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239409281B4849A19A9C279DD30D3E12_11</vt:lpwstr>
  </property>
</Properties>
</file>