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val="en-US" w:eastAsia="zh-CN"/>
        </w:rPr>
        <w:t>智能电表</w:t>
      </w:r>
      <w:bookmarkStart w:id="13" w:name="_GoBack"/>
      <w:bookmarkEnd w:id="1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Df45S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表种类添加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设定创建的水电表类型及计量单位。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jprS2"/>
      <w:bookmarkEnd w:id="1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新建表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选择对应表种类，点击【新建表】进行对应表信息填写。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分表：对不同部分或房间的电能消耗进行独立测量和计费。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总表：整个园区统一应用的表视为总表。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分摊表： 需要涉及分摊费用的就用分摊表 。当设置为分摊表，会根据对应选择的租户进行用量分摊。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0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6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TnUuP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抄表设置-添加抄表计划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3" w:name="wWbVW"/>
      <w:bookmarkEnd w:id="3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1、单个水单表添加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6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时间要求：设置的计划周期任务时间需要工作人员在多长时间内完成。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计划周期：指派抄表人员定时定点进行抄表任务。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798320" cy="2567940"/>
            <wp:effectExtent l="0" t="0" r="0" b="7620"/>
            <wp:docPr id="17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VTZQw"/>
      <w:bookmarkEnd w:id="4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、批量导入水电表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通过表格导入水电分表信息。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7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482340" cy="1386840"/>
            <wp:effectExtent l="0" t="0" r="7620" b="0"/>
            <wp:docPr id="22" name="图片 2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5" w:name="Ku8Ms"/>
      <w:bookmarkEnd w:id="5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价格标准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8" name="图片 2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设置用水电区间的单价标准。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362200"/>
            <wp:effectExtent l="0" t="0" r="0" b="0"/>
            <wp:docPr id="25" name="图片 2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6" w:name="ie7bP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智能硬件配置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连接水电智能硬件后，当租客账单逾期，在规定时间内末及时缴纳欠费，则对其水电进行断闸操作，缴费后自动合闸进行供应。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注意：每天10时左右自动检测一次表欠费状态。存在欠费账单，则会自动给租客发送短信、站内信、公众号消息。欠费账单生成时间+宽限天数大于当前的则会自动断闸，缴纳欠款后自动合闸。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硬件品牌支持：武汉时波、云丁、宜管家水电表开放平台（支持小工匠、辰域、超仪等水电表）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874260" cy="2317115"/>
            <wp:effectExtent l="0" t="0" r="2540" b="14605"/>
            <wp:docPr id="21" name="图片 2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67940"/>
            <wp:effectExtent l="0" t="0" r="7620" b="7620"/>
            <wp:docPr id="19" name="图片 2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ifZDt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六、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水电在线抄录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8" w:name="A4x1T"/>
      <w:bookmarkEnd w:id="8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、移动端抄录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抄表负责人会收到任务提醒，进入任务即可将线下的读数录入。点击按钮即可拍照上传。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75360" cy="1973580"/>
            <wp:effectExtent l="0" t="0" r="0" b="7620"/>
            <wp:docPr id="20" name="图片 2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98220" cy="2015490"/>
            <wp:effectExtent l="0" t="0" r="7620" b="11430"/>
            <wp:docPr id="23" name="图片 2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AWcPc"/>
      <w:bookmarkEnd w:id="9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、电脑端抄录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1 )单个抄录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点击进入相应的水电表，进行详情查看。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516380"/>
            <wp:effectExtent l="0" t="0" r="7620" b="7620"/>
            <wp:docPr id="24" name="图片 2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添加该水电表的用量信息。 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8" name="图片 2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）导入抄表记录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164080"/>
            <wp:effectExtent l="0" t="0" r="0" b="0"/>
            <wp:docPr id="29" name="图片 3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493520"/>
            <wp:effectExtent l="0" t="0" r="0" b="0"/>
            <wp:docPr id="33" name="图片 3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CUe2L"/>
      <w:bookmarkEnd w:id="1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七、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账单生成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）点击进入相应的水电表，进行详情查看。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hd w:val="clear" w:color="auto" w:fill="auto"/>
        </w:rPr>
        <w:t>提示：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选中的房源有租户存在的情况下才会生成对应账单详情；如果该房源没有对应租户存在则视为企业自行承担，不会进行账单生成。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如果使用公摊表，请先抄完所有分表再抄公摊表，并且上次抄表日期与本次抄表日期需要一致，才会生成分摊账单。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当房屋只签订了物业条款合同，水电抄表的分摊会读取物业面积。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516380"/>
            <wp:effectExtent l="0" t="0" r="7620" b="7620"/>
            <wp:docPr id="34" name="图片 3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）针对抄表但为生成订单的抄表信息支持修改。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754880" cy="2567940"/>
            <wp:effectExtent l="0" t="0" r="0" b="7620"/>
            <wp:docPr id="35" name="图片 33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）进入【账单详情】一键生成缴费账单。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918460" cy="1478280"/>
            <wp:effectExtent l="0" t="0" r="7620" b="0"/>
            <wp:docPr id="38" name="图片 3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33900" cy="2560320"/>
            <wp:effectExtent l="0" t="0" r="7620" b="0"/>
            <wp:docPr id="37" name="图片 35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7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73040" cy="2026920"/>
            <wp:effectExtent l="0" t="0" r="0" b="0"/>
            <wp:docPr id="36" name="图片 36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7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l1JVz"/>
      <w:bookmarkEnd w:id="11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八、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记录查询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）管理员可在后台查看快照，核实与录入的读数是否一致，当出现不一致的情况能够及时修改。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82980" cy="1562100"/>
            <wp:effectExtent l="0" t="0" r="7620" b="7620"/>
            <wp:docPr id="39" name="图片 37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 descr="IMG_27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）在抄表任务完成后，管理员即可一键生成水电账单。当存在未确认的快照，在生成时系统会自动提醒，避免遗漏。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40" name="图片 38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G_28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OC2Tx"/>
      <w:bookmarkEnd w:id="1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九、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账单缴费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通过【财务】所有财务找到相应水电订单进行催缴以及生成缴费订单。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1424940"/>
            <wp:effectExtent l="0" t="0" r="0" b="7620"/>
            <wp:docPr id="31" name="图片 39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IMG_28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72000" cy="2575560"/>
            <wp:effectExtent l="0" t="0" r="0" b="0"/>
            <wp:docPr id="32" name="图片 40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8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6D2359E9"/>
    <w:rsid w:val="04A94DE4"/>
    <w:rsid w:val="1431122C"/>
    <w:rsid w:val="566A6068"/>
    <w:rsid w:val="6D2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2024-02-26T09:07:00Z</dcterms:created>
  <dc:creator>灯塔</dc:creator>
  <cp:lastModifiedBy>灯塔</cp:lastModifiedBy>
  <dcterms:modified xsi:type="dcterms:W3CDTF">2024-02-26T10:27:01Z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239409281B4849A19A9C279DD30D3E12_11</vt:lpwstr>
  </property>
</Properties>
</file>