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66" w:firstLineChars="200"/>
        <w:jc w:val="left"/>
        <w:rPr>
          <w:rFonts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3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38"/>
          <w:shd w:val="clear" w:color="auto" w:fill="auto"/>
        </w:rPr>
        <w:t>资产管理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OljsW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身份切换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系统支持「管理员」和「员工」两个身份，可随时进行切换。员工身份则不能切换。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379220"/>
            <wp:effectExtent l="0" t="0" r="0" b="762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" w:name="YNqai"/>
      <w:bookmarkEnd w:id="1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管理端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2" w:name="MPeHj"/>
      <w:bookmarkEnd w:id="2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、系统设置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企业的超级管理员（初始唯一管理员）在系统设置中添加资产管理人员，管理员可以使用资产管理的管理端，进行派发、借出、归还、编辑、维修、调拨、处置等一系列操作，同时也能查看到资产的一系列员工申请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770120" cy="2567940"/>
            <wp:effectExtent l="0" t="0" r="0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kYgF7"/>
      <w:bookmarkEnd w:id="3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、完善审批流程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val="en-US" w:eastAsia="zh-CN"/>
        </w:rPr>
      </w:pPr>
      <w:bookmarkStart w:id="4" w:name="T38g7"/>
      <w:bookmarkEnd w:id="4"/>
      <w:r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val="en-US" w:eastAsia="zh-CN"/>
        </w:rPr>
        <w:t>详见审批应用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3 、资产分类/位置设置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设置资产的位置，可无限新建下级位置，让资产标记的位置更具体。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69164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61544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IuFAw"/>
      <w:bookmarkEnd w:id="5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4 、资产标签设置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配置好资产标签后，前往「资产清单」列表，可以勾选资产，会出现 **打印 ** 按钮。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676400"/>
            <wp:effectExtent l="0" t="0" r="762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VxbaT"/>
      <w:bookmarkEnd w:id="6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5 、资产入库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录入资产信息，提交入库单并通过审核后，资产完成入库。使用资产复制，可以快速按所选资产的创建入库单据。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13860" cy="1127760"/>
            <wp:effectExtent l="0" t="0" r="762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13860" cy="899160"/>
            <wp:effectExtent l="0" t="0" r="762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XvoC5"/>
      <w:bookmarkEnd w:id="7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6 、资产清单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管理员能够对所有资产的状态、使用人、位置等信息一目了然，对在用状态下的资产，可发起派发、借出等单据，单据会作为凭证记录在案。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73040" cy="1432560"/>
            <wp:effectExtent l="0" t="0" r="0" b="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2430780"/>
            <wp:effectExtent l="0" t="0" r="7620" b="762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GuV9O"/>
      <w:bookmarkEnd w:id="8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7、资产维修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可以申报资产维修，审批通过之后可快速发起维修工单。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9" w:name="dr4m5"/>
      <w:bookmarkEnd w:id="9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员工端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员工端是员工提交资产相关申请的地方，目前支持的申请有：领用、借用、退还、报失、交接他人、报修这6个操作。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hd w:val="clear" w:color="auto" w:fill="auto"/>
        </w:rPr>
        <w:t>提示：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移动端网页、微信小程序、管理APP等移动端入口，员工也可以随时随地的发起资产的申请。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0" w:name="cGrvS"/>
      <w:bookmarkEnd w:id="10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1、pc端申领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如图点击申请即可。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575560"/>
            <wp:effectExtent l="0" t="0" r="7620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1" w:name="vZIdU"/>
      <w:bookmarkEnd w:id="1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2、移动端申领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移动端【工作台】-【内部办公】-【资产管理】-【资产】选择针对资产进行的处理方式，如针对现有资产进行转交，则点击【交接他人】进行交转人员申请。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进入对应资产模块后选择对应申请人信息后，点击【手动添加】选择需要处理或申领的资产。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A5jDH"/>
      <w:bookmarkEnd w:id="1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3、移动端个人资产查看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移动端【工作台】-【内部办公】-【资产管理】-【我的】-【我的资产】可查看当前员工已有的资产以及资产的当前状态。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04900" cy="2369820"/>
            <wp:effectExtent l="0" t="0" r="7620" b="762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66" w:firstLineChars="200"/>
        <w:jc w:val="left"/>
        <w:rPr>
          <w:rFonts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3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38"/>
          <w:shd w:val="clear" w:color="auto" w:fill="auto"/>
        </w:rPr>
        <w:t>耗材管理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身份切换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系统支持「管理员」和「员工」两个身份，可随时进行切换。员工身份则不能切换。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管理端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）系统设置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企业的超级管理员（初始唯一管理员）在系统设置中添加管理员，管理员可以使用耗材管理的管理端，进行入库、派发、退库、调拨、处置等一系列操作，同时也能查看到资产的一系列员工申请。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）完善审批流程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val="en-US" w:eastAsia="zh-CN"/>
        </w:rPr>
      </w:pP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val="en-US" w:eastAsia="zh-CN"/>
        </w:rPr>
        <w:t>详见审批应用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3 ）耗材分类设置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设置耗材的分类，可以设置多级分类。支持批量导入。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480560" cy="2129790"/>
            <wp:effectExtent l="0" t="0" r="0" b="3810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4 ）耗材档案设置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提前录入好所有的耗材基本信息，方便后期的领用派发，针对耗材用品，支持设置是否允许退库。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是否允许退库：公司发放给员工的物料，如果需要回收，此处设置允许退库。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465955" cy="2122805"/>
            <wp:effectExtent l="0" t="0" r="14605" b="10795"/>
            <wp:docPr id="19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5 ）耗材仓库设置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设置耗材所存放的仓库，支持多级仓库划分。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6 ）及时库存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管理端可以快速查看耗材对应的剩余库存，可以快速入库和派发。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w14KI"/>
      <w:bookmarkEnd w:id="13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7）耗材入库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录入入库单据，查看每一条记录，支持导出。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BkItT"/>
      <w:bookmarkEnd w:id="14"/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8）耗材派发/退库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录入派发和退库的单据，审核完成后，单据显示已完结。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员工端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员工端是员工提交资产相关申请的地方，目前支持的申请有：报修，领用，退还这三个操作。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hd w:val="clear" w:color="auto" w:fill="auto"/>
        </w:rPr>
        <w:t>提示：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移动端网页、微信小程序、管理APP等移动端入口，员工也可以随时随地的发起耗材的申请。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5" w:name="Y5XBd"/>
      <w:bookmarkEnd w:id="15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1、pc端申领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选择员工身份后，在工作台中针对所要申领的耗材进行处理。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8240" cy="2560320"/>
            <wp:effectExtent l="0" t="0" r="0" b="0"/>
            <wp:docPr id="2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cJbuP"/>
      <w:bookmarkEnd w:id="16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2、移动端申领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移动端【工作台】-【内部办公】-【资产管理】-【耗材】选择针对耗材进行的处理方式，如针对现有耗材进行领用，则点击【库存耗材领用】进行申领。</w:t>
      </w:r>
      <w:bookmarkStart w:id="17" w:name="aQwpr"/>
      <w:bookmarkEnd w:id="17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2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26" name="图片 2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-2"/>
          <w:sz w:val="24"/>
          <w:szCs w:val="24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spacing w:val="-2"/>
          <w:sz w:val="24"/>
          <w:szCs w:val="24"/>
          <w:shd w:val="clear" w:color="auto" w:fill="auto"/>
        </w:rPr>
        <w:instrText xml:space="preserve"> HYPERLINK "https://wiki.sdqingyun.cn/vysbhhpyt3yx7yf1.html" </w:instrText>
      </w:r>
      <w:r>
        <w:rPr>
          <w:rFonts w:hint="default" w:ascii="宋体" w:hAnsi="Segoe UI" w:eastAsia="宋体" w:cs="Segoe UI"/>
          <w:i w:val="0"/>
          <w:iCs w:val="0"/>
          <w:caps w:val="0"/>
          <w:spacing w:val="-2"/>
          <w:sz w:val="24"/>
          <w:szCs w:val="24"/>
          <w:shd w:val="clear" w:color="auto" w:fill="auto"/>
        </w:rPr>
        <w:fldChar w:fldCharType="separate"/>
      </w:r>
      <w:r>
        <w:rPr>
          <w:rStyle w:val="8"/>
          <w:rFonts w:hint="default" w:ascii="宋体" w:hAnsi="Segoe UI" w:eastAsia="宋体" w:cs="Segoe UI"/>
          <w:i w:val="0"/>
          <w:iCs w:val="0"/>
          <w:caps w:val="0"/>
          <w:spacing w:val="-2"/>
          <w:sz w:val="24"/>
          <w:szCs w:val="24"/>
          <w:shd w:val="clear" w:color="auto" w:fill="auto"/>
        </w:rPr>
        <w:t>#</w:t>
      </w:r>
      <w:r>
        <w:rPr>
          <w:rFonts w:hint="default" w:ascii="宋体" w:hAnsi="Segoe UI" w:eastAsia="宋体" w:cs="Segoe UI"/>
          <w:i w:val="0"/>
          <w:iCs w:val="0"/>
          <w:caps w:val="0"/>
          <w:spacing w:val="-2"/>
          <w:sz w:val="24"/>
          <w:szCs w:val="24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进入对应耗材模块后选择对应申请人信息后，点击【手动添加】选择需要处理或申领的耗材。</w:t>
      </w:r>
      <w:bookmarkStart w:id="18" w:name="Rga4d"/>
      <w:bookmarkEnd w:id="18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both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bookmarkStart w:id="19" w:name="_GoBack"/>
      <w:bookmarkEnd w:id="19"/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664210" cy="1440180"/>
            <wp:effectExtent l="0" t="0" r="6350" b="7620"/>
            <wp:docPr id="2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IMG_26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3、移动端个人耗材查看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移动端【工作台】-【内部办公】-【资产管理】-【我的】-【我的耗材】可查看当前员工已有的耗材。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28" name="图片 2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876300" cy="1897380"/>
            <wp:effectExtent l="0" t="0" r="7620" b="7620"/>
            <wp:docPr id="29" name="图片 2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6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2BDC1481"/>
    <w:rsid w:val="20800FE2"/>
    <w:rsid w:val="2BDC1481"/>
    <w:rsid w:val="7D90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2024-02-26T09:06:00Z</dcterms:created>
  <dc:creator>灯塔</dc:creator>
  <cp:lastModifiedBy>灯塔</cp:lastModifiedBy>
  <dcterms:modified xsi:type="dcterms:W3CDTF">2024-02-26T09:11:11Z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E0B5608F94DA4834815ACF1353116A69_11</vt:lpwstr>
  </property>
</Properties>
</file>