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6885"/>
        </w:tabs>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(Data Science)</w:t>
      </w:r>
    </w:p>
    <w:p w:rsidR="00000000" w:rsidDel="00000000" w:rsidP="00000000" w:rsidRDefault="00000000" w:rsidRPr="00000000" w14:paraId="00000002">
      <w:pPr>
        <w:tabs>
          <w:tab w:val="left" w:leader="none" w:pos="6885"/>
        </w:tabs>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tabs>
          <w:tab w:val="left" w:leader="none" w:pos="6885"/>
        </w:tabs>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S.Y.B.Tech. </w:t>
        <w:tab/>
        <w:t xml:space="preserve">Sem: IV   </w:t>
      </w:r>
    </w:p>
    <w:p w:rsidR="00000000" w:rsidDel="00000000" w:rsidP="00000000" w:rsidRDefault="00000000" w:rsidRPr="00000000" w14:paraId="00000004">
      <w:pPr>
        <w:tabs>
          <w:tab w:val="left" w:leader="none" w:pos="6885"/>
        </w:tabs>
        <w:spacing w:after="0" w:before="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Subject: </w:t>
      </w:r>
      <w:r w:rsidDel="00000000" w:rsidR="00000000" w:rsidRPr="00000000">
        <w:rPr>
          <w:rFonts w:ascii="Times New Roman" w:cs="Times New Roman" w:eastAsia="Times New Roman" w:hAnsi="Times New Roman"/>
          <w:sz w:val="24"/>
          <w:szCs w:val="24"/>
          <w:rtl w:val="0"/>
        </w:rPr>
        <w:t xml:space="preserve">Computational Methods and Pricing Models Laboratory</w:t>
      </w:r>
      <w:r w:rsidDel="00000000" w:rsidR="00000000" w:rsidRPr="00000000">
        <w:rPr>
          <w:rtl w:val="0"/>
        </w:rPr>
      </w:r>
    </w:p>
    <w:p w:rsidR="00000000" w:rsidDel="00000000" w:rsidP="00000000" w:rsidRDefault="00000000" w:rsidRPr="00000000" w14:paraId="00000005">
      <w:pPr>
        <w:tabs>
          <w:tab w:val="left" w:leader="none" w:pos="6885"/>
        </w:tabs>
        <w:spacing w:after="0" w:before="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Experiment 3</w:t>
      </w:r>
    </w:p>
    <w:p w:rsidR="00000000" w:rsidDel="00000000" w:rsidP="00000000" w:rsidRDefault="00000000" w:rsidRPr="00000000" w14:paraId="00000006">
      <w:pPr>
        <w:tabs>
          <w:tab w:val="left" w:leader="none" w:pos="6885"/>
        </w:tabs>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w:t>
        <w:tab/>
        <w:t xml:space="preserve">SAP ID: </w:t>
      </w: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7280"/>
        <w:tblGridChange w:id="0">
          <w:tblGrid>
            <w:gridCol w:w="1736"/>
            <w:gridCol w:w="72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 Title: </w:t>
            </w:r>
            <w:r w:rsidDel="00000000" w:rsidR="00000000" w:rsidRPr="00000000">
              <w:rPr>
                <w:rFonts w:ascii="Times New Roman" w:cs="Times New Roman" w:eastAsia="Times New Roman" w:hAnsi="Times New Roman"/>
                <w:sz w:val="24"/>
                <w:szCs w:val="24"/>
                <w:rtl w:val="0"/>
              </w:rPr>
              <w:t xml:space="preserve">Black-Scholes Option Pricing Model and Sensitivity Analysis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tabs>
                <w:tab w:val="left" w:leader="none" w:pos="276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understand the Black-Scholes model for pricing European call options.</w:t>
            </w:r>
          </w:p>
          <w:p w:rsidR="00000000" w:rsidDel="00000000" w:rsidP="00000000" w:rsidRDefault="00000000" w:rsidRPr="00000000" w14:paraId="0000000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analyze the sensitivity of option price with respect to volatility, time to maturity, and interest rate.</w:t>
            </w:r>
          </w:p>
          <w:p w:rsidR="00000000" w:rsidDel="00000000" w:rsidP="00000000" w:rsidRDefault="00000000" w:rsidRPr="00000000" w14:paraId="0000000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To visualize the impact of key parameters on option pricing.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tabs>
                <w:tab w:val="left" w:leader="none" w:pos="276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on Google Colab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tabs>
                <w:tab w:val="left" w:leader="none" w:pos="276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Black-Scholes model is used to calculate the theoretical price of European call options using the following formula:</w:t>
            </w:r>
          </w:p>
          <w:p w:rsidR="00000000" w:rsidDel="00000000" w:rsidP="00000000" w:rsidRDefault="00000000" w:rsidRPr="00000000" w14:paraId="0000001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19794" cy="495369"/>
                  <wp:effectExtent b="0" l="0" r="0" t="0"/>
                  <wp:docPr id="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19794" cy="49536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1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Current stock price</w:t>
            </w:r>
          </w:p>
          <w:p w:rsidR="00000000" w:rsidDel="00000000" w:rsidP="00000000" w:rsidRDefault="00000000" w:rsidRPr="00000000" w14:paraId="0000001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 Strike price</w:t>
            </w:r>
          </w:p>
          <w:p w:rsidR="00000000" w:rsidDel="00000000" w:rsidP="00000000" w:rsidRDefault="00000000" w:rsidRPr="00000000" w14:paraId="0000001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Time to maturity (in years)</w:t>
            </w:r>
          </w:p>
          <w:p w:rsidR="00000000" w:rsidDel="00000000" w:rsidP="00000000" w:rsidRDefault="00000000" w:rsidRPr="00000000" w14:paraId="0000001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 Risk-free interest rate</w:t>
            </w:r>
          </w:p>
          <w:p w:rsidR="00000000" w:rsidDel="00000000" w:rsidP="00000000" w:rsidRDefault="00000000" w:rsidRPr="00000000" w14:paraId="0000001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 = Volatility of the stock</w:t>
            </w:r>
          </w:p>
          <w:p w:rsidR="00000000" w:rsidDel="00000000" w:rsidP="00000000" w:rsidRDefault="00000000" w:rsidRPr="00000000" w14:paraId="0000001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 = Cumulative distribution function (CDF) of the standard normal distribution</w:t>
            </w:r>
          </w:p>
          <w:p w:rsidR="00000000" w:rsidDel="00000000" w:rsidP="00000000" w:rsidRDefault="00000000" w:rsidRPr="00000000" w14:paraId="0000001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76846" cy="962159"/>
                  <wp:effectExtent b="0" l="0" r="0" t="0"/>
                  <wp:docPr id="2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76846" cy="96215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2"/>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d1</w:t>
            </w:r>
            <w:r w:rsidDel="00000000" w:rsidR="00000000" w:rsidRPr="00000000">
              <w:rPr>
                <w:rFonts w:ascii="Times New Roman" w:cs="Times New Roman" w:eastAsia="Times New Roman" w:hAnsi="Times New Roman"/>
                <w:sz w:val="24"/>
                <w:szCs w:val="24"/>
                <w:rtl w:val="0"/>
              </w:rPr>
              <w:t xml:space="preserve">: Shows the chance that the stock price will be above the option's strike price when it expires. It helps measure how sensitive the option’s price is to changes in the stock price.</w:t>
            </w:r>
          </w:p>
          <w:p w:rsidR="00000000" w:rsidDel="00000000" w:rsidP="00000000" w:rsidRDefault="00000000" w:rsidRPr="00000000" w14:paraId="0000001B">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d2</w:t>
            </w:r>
            <w:r w:rsidDel="00000000" w:rsidR="00000000" w:rsidRPr="00000000">
              <w:rPr>
                <w:rFonts w:ascii="Times New Roman" w:cs="Times New Roman" w:eastAsia="Times New Roman" w:hAnsi="Times New Roman"/>
                <w:sz w:val="24"/>
                <w:szCs w:val="24"/>
                <w:rtl w:val="0"/>
              </w:rPr>
              <w:t xml:space="preserve">: Shows the chance that the option will have value (be profitable) at expiration, taking into account time and interest rates.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d1 and d2 help calculate the option’s price by considering these probabilities.</w:t>
            </w:r>
          </w:p>
          <w:p w:rsidR="00000000" w:rsidDel="00000000" w:rsidP="00000000" w:rsidRDefault="00000000" w:rsidRPr="00000000" w14:paraId="0000001D">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of Black-Scholes Model:</w:t>
            </w:r>
          </w:p>
          <w:p w:rsidR="00000000" w:rsidDel="00000000" w:rsidP="00000000" w:rsidRDefault="00000000" w:rsidRPr="00000000" w14:paraId="0000001E">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traders and investors to price European options on stocks, indices, and futures.</w:t>
            </w:r>
          </w:p>
          <w:p w:rsidR="00000000" w:rsidDel="00000000" w:rsidP="00000000" w:rsidRDefault="00000000" w:rsidRPr="00000000" w14:paraId="0000001F">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in risk management by assessing the impact of different factors on option pricing.</w:t>
            </w:r>
          </w:p>
          <w:p w:rsidR="00000000" w:rsidDel="00000000" w:rsidP="00000000" w:rsidRDefault="00000000" w:rsidRPr="00000000" w14:paraId="00000020">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hedging strategies in financial markets.</w:t>
            </w:r>
          </w:p>
          <w:p w:rsidR="00000000" w:rsidDel="00000000" w:rsidP="00000000" w:rsidRDefault="00000000" w:rsidRPr="00000000" w14:paraId="00000021">
            <w:pPr>
              <w:pStyle w:val="Heading2"/>
              <w:spacing w:after="0" w:before="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Sensitivity Analysis</w:t>
            </w:r>
          </w:p>
          <w:p w:rsidR="00000000" w:rsidDel="00000000" w:rsidP="00000000" w:rsidRDefault="00000000" w:rsidRPr="00000000" w14:paraId="0000002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option price is affected by several parameters:</w:t>
            </w:r>
          </w:p>
          <w:p w:rsidR="00000000" w:rsidDel="00000000" w:rsidP="00000000" w:rsidRDefault="00000000" w:rsidRPr="00000000" w14:paraId="0000002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Volatility (σ): Higher volatility generally increases the option price.</w:t>
            </w:r>
          </w:p>
          <w:p w:rsidR="00000000" w:rsidDel="00000000" w:rsidP="00000000" w:rsidRDefault="00000000" w:rsidRPr="00000000" w14:paraId="0000002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Time to Maturity (T): Longer time to maturity often results in a higher option price.</w:t>
            </w:r>
          </w:p>
          <w:p w:rsidR="00000000" w:rsidDel="00000000" w:rsidP="00000000" w:rsidRDefault="00000000" w:rsidRPr="00000000" w14:paraId="0000002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Interest Rate (r): Changes in the risk-free rate can impact option pricing.</w:t>
            </w:r>
          </w:p>
          <w:p w:rsidR="00000000" w:rsidDel="00000000" w:rsidP="00000000" w:rsidRDefault="00000000" w:rsidRPr="00000000" w14:paraId="0000002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2"/>
              <w:spacing w:after="0" w:before="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Impact of Option Pricing Parameters</w:t>
            </w:r>
          </w:p>
          <w:p w:rsidR="00000000" w:rsidDel="00000000" w:rsidP="00000000" w:rsidRDefault="00000000" w:rsidRPr="00000000" w14:paraId="0000002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Volatility Effect: Higher volatility increases the call option price, whereas lower volatility reduces it.</w:t>
            </w:r>
          </w:p>
          <w:p w:rsidR="00000000" w:rsidDel="00000000" w:rsidP="00000000" w:rsidRDefault="00000000" w:rsidRPr="00000000" w14:paraId="0000002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to Maturity Effect: A longer time to maturity generally increases the option price, and a shorter time to maturity reduces it.</w:t>
            </w:r>
          </w:p>
          <w:p w:rsidR="00000000" w:rsidDel="00000000" w:rsidP="00000000" w:rsidRDefault="00000000" w:rsidRPr="00000000" w14:paraId="0000002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Interest Rate Effect: A higher interest rate generally increases the call option price, whereas a lower interest rate reduces it.</w:t>
            </w:r>
          </w:p>
          <w:p w:rsidR="00000000" w:rsidDel="00000000" w:rsidP="00000000" w:rsidRDefault="00000000" w:rsidRPr="00000000" w14:paraId="0000002B">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3"/>
              <w:spacing w:after="0" w:before="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Example: </w:t>
            </w:r>
          </w:p>
          <w:p w:rsidR="00000000" w:rsidDel="00000000" w:rsidP="00000000" w:rsidRDefault="00000000" w:rsidRPr="00000000" w14:paraId="0000002D">
            <w:pPr>
              <w:pStyle w:val="Heading3"/>
              <w:spacing w:after="0" w:before="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Given Data:</w:t>
            </w:r>
          </w:p>
          <w:p w:rsidR="00000000" w:rsidDel="00000000" w:rsidP="00000000" w:rsidRDefault="00000000" w:rsidRPr="00000000" w14:paraId="0000002E">
            <w:pPr>
              <w:spacing w:after="0" w:before="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Enter Stock Price: 60</w:t>
            </w:r>
          </w:p>
          <w:p w:rsidR="00000000" w:rsidDel="00000000" w:rsidP="00000000" w:rsidRDefault="00000000" w:rsidRPr="00000000" w14:paraId="0000002F">
            <w:pPr>
              <w:spacing w:after="0" w:before="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Enter Strike Price: 56</w:t>
            </w:r>
          </w:p>
          <w:p w:rsidR="00000000" w:rsidDel="00000000" w:rsidP="00000000" w:rsidRDefault="00000000" w:rsidRPr="00000000" w14:paraId="00000030">
            <w:pPr>
              <w:spacing w:after="0" w:before="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Enter Time to Maturity (in years): 0.5</w:t>
            </w:r>
          </w:p>
          <w:p w:rsidR="00000000" w:rsidDel="00000000" w:rsidP="00000000" w:rsidRDefault="00000000" w:rsidRPr="00000000" w14:paraId="00000031">
            <w:pPr>
              <w:spacing w:after="0" w:before="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Enter Risk-Free Rate (as decimal, e.g., 0.05 for 5%): 0.14</w:t>
            </w:r>
          </w:p>
          <w:p w:rsidR="00000000" w:rsidDel="00000000" w:rsidP="00000000" w:rsidRDefault="00000000" w:rsidRPr="00000000" w14:paraId="00000032">
            <w:pPr>
              <w:spacing w:after="0" w:before="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Enter Volatility (as decimal, e.g., 0.2 for 20%): 0.3</w:t>
            </w:r>
          </w:p>
          <w:p w:rsidR="00000000" w:rsidDel="00000000" w:rsidP="00000000" w:rsidRDefault="00000000" w:rsidRPr="00000000" w14:paraId="00000033">
            <w:pPr>
              <w:spacing w:after="0" w:before="0" w:line="240" w:lineRule="auto"/>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Step 1</w:t>
            </w:r>
          </w:p>
          <w:p w:rsidR="00000000" w:rsidDel="00000000" w:rsidP="00000000" w:rsidRDefault="00000000" w:rsidRPr="00000000" w14:paraId="00000034">
            <w:pPr>
              <w:spacing w:after="0" w:before="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calculate d1,d2</w:t>
            </w:r>
          </w:p>
          <w:p w:rsidR="00000000" w:rsidDel="00000000" w:rsidP="00000000" w:rsidRDefault="00000000" w:rsidRPr="00000000" w14:paraId="00000035">
            <w:pPr>
              <w:spacing w:after="0" w:before="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after calculation d1= 0.76134, d2=0.54924</w:t>
            </w:r>
          </w:p>
          <w:p w:rsidR="00000000" w:rsidDel="00000000" w:rsidP="00000000" w:rsidRDefault="00000000" w:rsidRPr="00000000" w14:paraId="00000036">
            <w:pPr>
              <w:spacing w:after="0" w:before="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Step 2</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37">
            <w:pPr>
              <w:spacing w:after="0" w:before="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calculate normal distribution of d1 and d2 which is 0.77 and 0.70 respectively {use scientific calculator}</w:t>
            </w:r>
          </w:p>
          <w:p w:rsidR="00000000" w:rsidDel="00000000" w:rsidP="00000000" w:rsidRDefault="00000000" w:rsidRPr="00000000" w14:paraId="00000038">
            <w:pPr>
              <w:spacing w:after="0" w:before="0" w:line="240" w:lineRule="auto"/>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Step 3 </w:t>
            </w:r>
          </w:p>
          <w:p w:rsidR="00000000" w:rsidDel="00000000" w:rsidP="00000000" w:rsidRDefault="00000000" w:rsidRPr="00000000" w14:paraId="00000039">
            <w:pPr>
              <w:spacing w:after="0" w:before="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calculate present value of exercise price using continuous discounting principle E/e^rt</w:t>
            </w:r>
          </w:p>
          <w:p w:rsidR="00000000" w:rsidDel="00000000" w:rsidP="00000000" w:rsidRDefault="00000000" w:rsidRPr="00000000" w14:paraId="0000003A">
            <w:pPr>
              <w:spacing w:after="0" w:before="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where e is approximately 2.71 ans = 52.21</w:t>
            </w:r>
          </w:p>
          <w:p w:rsidR="00000000" w:rsidDel="00000000" w:rsidP="00000000" w:rsidRDefault="00000000" w:rsidRPr="00000000" w14:paraId="0000003B">
            <w:pPr>
              <w:spacing w:after="0" w:before="0" w:line="240" w:lineRule="auto"/>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Step 4</w:t>
            </w:r>
          </w:p>
          <w:p w:rsidR="00000000" w:rsidDel="00000000" w:rsidP="00000000" w:rsidRDefault="00000000" w:rsidRPr="00000000" w14:paraId="0000003C">
            <w:pPr>
              <w:spacing w:after="0" w:before="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 60*0.7768-52.21*0.7086</w:t>
            </w:r>
          </w:p>
          <w:p w:rsidR="00000000" w:rsidDel="00000000" w:rsidP="00000000" w:rsidRDefault="00000000" w:rsidRPr="00000000" w14:paraId="0000003D">
            <w:pPr>
              <w:spacing w:after="0" w:before="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=46.61-37.00</w:t>
            </w:r>
          </w:p>
          <w:p w:rsidR="00000000" w:rsidDel="00000000" w:rsidP="00000000" w:rsidRDefault="00000000" w:rsidRPr="00000000" w14:paraId="0000003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=9.61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tabs>
                <w:tab w:val="left" w:leader="none" w:pos="276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Compute Call Option Price Using Black-Scholes Model</w:t>
            </w:r>
          </w:p>
          <w:p w:rsidR="00000000" w:rsidDel="00000000" w:rsidP="00000000" w:rsidRDefault="00000000" w:rsidRPr="00000000" w14:paraId="0000004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the given stock parameters.</w:t>
            </w:r>
          </w:p>
          <w:p w:rsidR="00000000" w:rsidDel="00000000" w:rsidP="00000000" w:rsidRDefault="00000000" w:rsidRPr="00000000" w14:paraId="0000004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the Black-Scholes formula to compute the call option price.</w:t>
            </w:r>
          </w:p>
          <w:p w:rsidR="00000000" w:rsidDel="00000000" w:rsidP="00000000" w:rsidRDefault="00000000" w:rsidRPr="00000000" w14:paraId="0000004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Sensitivity Analysis</w:t>
            </w:r>
          </w:p>
          <w:p w:rsidR="00000000" w:rsidDel="00000000" w:rsidP="00000000" w:rsidRDefault="00000000" w:rsidRPr="00000000" w14:paraId="0000004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Vary volatility between 10% to 50% and observe the option price.</w:t>
            </w:r>
          </w:p>
          <w:p w:rsidR="00000000" w:rsidDel="00000000" w:rsidP="00000000" w:rsidRDefault="00000000" w:rsidRPr="00000000" w14:paraId="0000004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Vary time to maturity between 0.1 years to 2 years and observe the option price.</w:t>
            </w:r>
          </w:p>
          <w:p w:rsidR="00000000" w:rsidDel="00000000" w:rsidP="00000000" w:rsidRDefault="00000000" w:rsidRPr="00000000" w14:paraId="0000004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Vary interest rate between 1% to 10% and observe the option price.</w:t>
            </w:r>
          </w:p>
          <w:p w:rsidR="00000000" w:rsidDel="00000000" w:rsidP="00000000" w:rsidRDefault="00000000" w:rsidRPr="00000000" w14:paraId="0000004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Visual Analysis</w:t>
            </w:r>
          </w:p>
          <w:p w:rsidR="00000000" w:rsidDel="00000000" w:rsidP="00000000" w:rsidRDefault="00000000" w:rsidRPr="00000000" w14:paraId="0000004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Plot option price vs volatility.</w:t>
            </w:r>
          </w:p>
          <w:p w:rsidR="00000000" w:rsidDel="00000000" w:rsidP="00000000" w:rsidRDefault="00000000" w:rsidRPr="00000000" w14:paraId="0000004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Plot option price vs time to maturity.</w:t>
            </w:r>
          </w:p>
          <w:p w:rsidR="00000000" w:rsidDel="00000000" w:rsidP="00000000" w:rsidRDefault="00000000" w:rsidRPr="00000000" w14:paraId="0000004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Plot option price vs interest rate.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tabs>
                <w:tab w:val="left" w:leader="none" w:pos="276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your conclusions)</w:t>
            </w:r>
          </w:p>
        </w:tc>
      </w:tr>
    </w:tbl>
    <w:p w:rsidR="00000000" w:rsidDel="00000000" w:rsidP="00000000" w:rsidRDefault="00000000" w:rsidRPr="00000000" w14:paraId="0000004D">
      <w:pPr>
        <w:tabs>
          <w:tab w:val="left" w:leader="none" w:pos="2760"/>
        </w:tabs>
        <w:spacing w:after="0" w:before="0" w:line="240" w:lineRule="auto"/>
        <w:ind w:hanging="709"/>
        <w:rPr>
          <w:rFonts w:ascii="Times New Roman" w:cs="Times New Roman" w:eastAsia="Times New Roman" w:hAnsi="Times New Roman"/>
          <w:sz w:val="24"/>
          <w:szCs w:val="24"/>
        </w:rPr>
      </w:pPr>
      <w:r w:rsidDel="00000000" w:rsidR="00000000" w:rsidRPr="00000000">
        <w:rPr>
          <w:rtl w:val="0"/>
        </w:rPr>
      </w:r>
    </w:p>
    <w:sectPr>
      <w:headerReference r:id="rId9" w:type="default"/>
      <w:footerReference r:id="rId10" w:type="default"/>
      <w:pgSz w:h="16838" w:w="11906" w:orient="portrait"/>
      <w:pgMar w:bottom="1440" w:top="1440" w:left="1440" w:right="1440" w:header="113"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736015" cy="686643"/>
          <wp:effectExtent b="0" l="0" r="0" t="0"/>
          <wp:docPr id="2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6015" cy="68664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C3FCD"/>
    <w:pPr>
      <w:spacing w:line="256" w:lineRule="auto"/>
    </w:pPr>
  </w:style>
  <w:style w:type="paragraph" w:styleId="Heading2">
    <w:name w:val="heading 2"/>
    <w:basedOn w:val="Normal"/>
    <w:next w:val="Normal"/>
    <w:link w:val="Heading2Char"/>
    <w:uiPriority w:val="9"/>
    <w:semiHidden w:val="1"/>
    <w:unhideWhenUsed w:val="1"/>
    <w:qFormat w:val="1"/>
    <w:rsid w:val="00C52612"/>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C52612"/>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link w:val="Heading4Char"/>
    <w:uiPriority w:val="9"/>
    <w:qFormat w:val="1"/>
    <w:rsid w:val="00407705"/>
    <w:pPr>
      <w:spacing w:after="100" w:afterAutospacing="1" w:before="100" w:beforeAutospacing="1" w:line="240" w:lineRule="auto"/>
      <w:outlineLvl w:val="3"/>
    </w:pPr>
    <w:rPr>
      <w:rFonts w:ascii="Times New Roman" w:cs="Times New Roman" w:eastAsia="Times New Roman" w:hAnsi="Times New Roman"/>
      <w:b w:val="1"/>
      <w:bCs w:val="1"/>
      <w:sz w:val="24"/>
      <w:szCs w:val="24"/>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FC3FCD"/>
    <w:pPr>
      <w:spacing w:after="0" w:line="240" w:lineRule="auto"/>
    </w:p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A6692"/>
    <w:pPr>
      <w:tabs>
        <w:tab w:val="center" w:pos="4513"/>
        <w:tab w:val="right" w:pos="9026"/>
      </w:tabs>
      <w:spacing w:after="0" w:line="240" w:lineRule="auto"/>
    </w:pPr>
  </w:style>
  <w:style w:type="character" w:styleId="HeaderChar" w:customStyle="1">
    <w:name w:val="Header Char"/>
    <w:basedOn w:val="DefaultParagraphFont"/>
    <w:link w:val="Header"/>
    <w:uiPriority w:val="99"/>
    <w:rsid w:val="004A6692"/>
  </w:style>
  <w:style w:type="paragraph" w:styleId="Footer">
    <w:name w:val="footer"/>
    <w:basedOn w:val="Normal"/>
    <w:link w:val="FooterChar"/>
    <w:uiPriority w:val="99"/>
    <w:unhideWhenUsed w:val="1"/>
    <w:rsid w:val="004A6692"/>
    <w:pPr>
      <w:tabs>
        <w:tab w:val="center" w:pos="4513"/>
        <w:tab w:val="right" w:pos="9026"/>
      </w:tabs>
      <w:spacing w:after="0" w:line="240" w:lineRule="auto"/>
    </w:pPr>
  </w:style>
  <w:style w:type="character" w:styleId="FooterChar" w:customStyle="1">
    <w:name w:val="Footer Char"/>
    <w:basedOn w:val="DefaultParagraphFont"/>
    <w:link w:val="Footer"/>
    <w:uiPriority w:val="99"/>
    <w:rsid w:val="004A6692"/>
  </w:style>
  <w:style w:type="paragraph" w:styleId="ListParagraph">
    <w:name w:val="List Paragraph"/>
    <w:basedOn w:val="Normal"/>
    <w:uiPriority w:val="34"/>
    <w:qFormat w:val="1"/>
    <w:rsid w:val="00A112A7"/>
    <w:pPr>
      <w:ind w:left="720"/>
      <w:contextualSpacing w:val="1"/>
    </w:pPr>
  </w:style>
  <w:style w:type="paragraph" w:styleId="NormalWeb">
    <w:name w:val="Normal (Web)"/>
    <w:basedOn w:val="Normal"/>
    <w:uiPriority w:val="99"/>
    <w:unhideWhenUsed w:val="1"/>
    <w:rsid w:val="00721E63"/>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Strong">
    <w:name w:val="Strong"/>
    <w:basedOn w:val="DefaultParagraphFont"/>
    <w:uiPriority w:val="22"/>
    <w:qFormat w:val="1"/>
    <w:rsid w:val="00721E63"/>
    <w:rPr>
      <w:b w:val="1"/>
      <w:bCs w:val="1"/>
    </w:rPr>
  </w:style>
  <w:style w:type="character" w:styleId="HTMLCode">
    <w:name w:val="HTML Code"/>
    <w:basedOn w:val="DefaultParagraphFont"/>
    <w:uiPriority w:val="99"/>
    <w:semiHidden w:val="1"/>
    <w:unhideWhenUsed w:val="1"/>
    <w:rsid w:val="00721E63"/>
    <w:rPr>
      <w:rFonts w:ascii="Courier New" w:cs="Courier New" w:eastAsia="Times New Roman" w:hAnsi="Courier New"/>
      <w:sz w:val="20"/>
      <w:szCs w:val="20"/>
    </w:rPr>
  </w:style>
  <w:style w:type="character" w:styleId="katex-mathml" w:customStyle="1">
    <w:name w:val="katex-mathml"/>
    <w:basedOn w:val="DefaultParagraphFont"/>
    <w:rsid w:val="00407705"/>
  </w:style>
  <w:style w:type="character" w:styleId="mord" w:customStyle="1">
    <w:name w:val="mord"/>
    <w:basedOn w:val="DefaultParagraphFont"/>
    <w:rsid w:val="00407705"/>
  </w:style>
  <w:style w:type="character" w:styleId="Heading4Char" w:customStyle="1">
    <w:name w:val="Heading 4 Char"/>
    <w:basedOn w:val="DefaultParagraphFont"/>
    <w:link w:val="Heading4"/>
    <w:uiPriority w:val="9"/>
    <w:rsid w:val="00407705"/>
    <w:rPr>
      <w:rFonts w:ascii="Times New Roman" w:cs="Times New Roman" w:eastAsia="Times New Roman" w:hAnsi="Times New Roman"/>
      <w:b w:val="1"/>
      <w:bCs w:val="1"/>
      <w:sz w:val="24"/>
      <w:szCs w:val="24"/>
      <w:lang w:eastAsia="en-IN"/>
    </w:rPr>
  </w:style>
  <w:style w:type="character" w:styleId="mrel" w:customStyle="1">
    <w:name w:val="mrel"/>
    <w:basedOn w:val="DefaultParagraphFont"/>
    <w:rsid w:val="00075214"/>
  </w:style>
  <w:style w:type="character" w:styleId="mopen" w:customStyle="1">
    <w:name w:val="mopen"/>
    <w:basedOn w:val="DefaultParagraphFont"/>
    <w:rsid w:val="00075214"/>
  </w:style>
  <w:style w:type="character" w:styleId="mbin" w:customStyle="1">
    <w:name w:val="mbin"/>
    <w:basedOn w:val="DefaultParagraphFont"/>
    <w:rsid w:val="00075214"/>
  </w:style>
  <w:style w:type="character" w:styleId="mclose" w:customStyle="1">
    <w:name w:val="mclose"/>
    <w:basedOn w:val="DefaultParagraphFont"/>
    <w:rsid w:val="00075214"/>
  </w:style>
  <w:style w:type="character" w:styleId="vlist-s" w:customStyle="1">
    <w:name w:val="vlist-s"/>
    <w:basedOn w:val="DefaultParagraphFont"/>
    <w:rsid w:val="00075214"/>
  </w:style>
  <w:style w:type="character" w:styleId="Heading2Char" w:customStyle="1">
    <w:name w:val="Heading 2 Char"/>
    <w:basedOn w:val="DefaultParagraphFont"/>
    <w:link w:val="Heading2"/>
    <w:uiPriority w:val="9"/>
    <w:semiHidden w:val="1"/>
    <w:rsid w:val="00C52612"/>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C52612"/>
    <w:rPr>
      <w:rFonts w:asciiTheme="majorHAnsi" w:cstheme="majorBidi" w:eastAsiaTheme="majorEastAsia" w:hAnsiTheme="majorHAnsi"/>
      <w:color w:val="1f3763"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4.xml"/><Relationship Id="rId3"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9kjncQcPHovMmi6bokCjzGkwCA==">CgMxLjA4AHIhMWUzeVhLMHhFVmcwckwyZ1J0cHJvWktlb1BESjFUUXRB</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9D018772E51B148833E9CB4F67DA3EB" ma:contentTypeVersion="4" ma:contentTypeDescription="Create a new document." ma:contentTypeScope="" ma:versionID="e5cf52858692d2c4b759c3d872564c85">
  <xsd:schema xmlns:xsd="http://www.w3.org/2001/XMLSchema" xmlns:xs="http://www.w3.org/2001/XMLSchema" xmlns:p="http://schemas.microsoft.com/office/2006/metadata/properties" xmlns:ns2="0f05faf5-6d82-4855-922f-e021ac1831bd" targetNamespace="http://schemas.microsoft.com/office/2006/metadata/properties" ma:root="true" ma:fieldsID="d03380847829dbc5f4900a9b42352940" ns2:_="">
    <xsd:import namespace="0f05faf5-6d82-4855-922f-e021ac1831b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5faf5-6d82-4855-922f-e021ac1831b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f05faf5-6d82-4855-922f-e021ac1831bd"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F9F48EA-DFB9-4A34-8C37-131A7A6647F2}"/>
</file>

<file path=customXML/itemProps3.xml><?xml version="1.0" encoding="utf-8"?>
<ds:datastoreItem xmlns:ds="http://schemas.openxmlformats.org/officeDocument/2006/customXml" ds:itemID="{3178E8E9-ACCF-4AF8-982A-C07435820D9F}"/>
</file>

<file path=customXML/itemProps4.xml><?xml version="1.0" encoding="utf-8"?>
<ds:datastoreItem xmlns:ds="http://schemas.openxmlformats.org/officeDocument/2006/customXml" ds:itemID="{F7114D0F-BDDD-4736-9B2B-B6F53F713271}"/>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Tarjini Mehta</dc:creator>
  <dcterms:created xsi:type="dcterms:W3CDTF">2025-02-17T08:25:00Z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0x01010069D018772E51B148833E9CB4F67DA3EB</vt:lpwstr>
  </property>
</Properties>
</file>