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  <w:jc w:val="center"/>
      </w:pPr>
      <w:r>
        <w:rPr>
          <w:rFonts w:ascii="Times New Roman" w:hAnsi="Times New Roman"/>
          <w:b/>
          <w:noProof/>
          <w:sz w:val="20"/>
        </w:rPr>
        <w:t>777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frocn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AAAAAA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sz w:val="20"/>
        </w:rPr>
        <w:t>111</w:t>
      </w:r>
    </w:p>
    <w:p>
      <w:pPr>
        <w:jc w:val="center"/>
      </w:pPr>
      <w:r>
        <w:rPr>
          <w:rFonts w:ascii="Times New Roman" w:hAnsi="Times New Roman"/>
          <w:i/>
          <w:sz w:val="20"/>
        </w:rPr>
        <w:t>111</w:t>
      </w:r>
    </w:p>
    <w:p>
      <w:r>
        <w:rPr>
          <w:sz w:val="20"/>
        </w:rPr>
      </w:r>
    </w:p>
    <w:p>
      <w:pPr>
        <w:jc w:val="center"/>
      </w:pPr>
      <w:r>
        <w:rPr>
          <w:rFonts w:ascii="Arial" w:hAnsi="Arial"/>
          <w:b/>
          <w:sz w:val="16"/>
        </w:rPr>
        <w:t>Аннотация</w:t>
      </w:r>
    </w:p>
    <w:p>
      <w:pPr>
        <w:jc w:val="both"/>
      </w:pPr>
      <w:r>
        <w:rPr>
          <w:rFonts w:ascii="Arial" w:hAnsi="Arial"/>
          <w:sz w:val="16"/>
        </w:rPr>
        <w:t>111</w:t>
      </w:r>
    </w:p>
    <w:p>
      <w:r>
        <w:rPr>
          <w:sz w:val="20"/>
        </w:rPr>
      </w:r>
    </w:p>
    <w:p>
      <w:pPr>
        <w:jc w:val="both"/>
      </w:pPr>
      <w:r>
        <w:rPr>
          <w:rFonts w:ascii="Times New Roman" w:hAnsi="Times New Roman"/>
          <w:sz w:val="20"/>
        </w:rPr>
        <w:t>В настоящее время компании всё чаще сталкиваются с проблемой хранения и сортировки товаров в по-  мещениях складов. При выборе помещения для хранения компании склоняются в сторону автоматизированных  складов, а не складов с ручным управлением [ 1 ]. Такой выбор можно объяснить надёжностью таких складов и их  удобством. Рост использования на складе автоматизированных процессов связан с уменьшением большого коли-  чества ошибок. Например, частыми проблемами в работе являются ошибки при отгрузке, ухудшение контроля за  запасами и негативное впечатление клиентов [ 2 ]. Автоматизация процессов на складе повышает производитель-  ность работы и исключает ошибки, совершаемые персоналом. Построение модели АСУ складского помещения  является первостепенной задачей при переходе от склада с ручным управлением к автоматизированному складу.  Целью проекта является создание модели склада и автоматизация процессов работы.  В ходе работы было изучено помещение, модель которого собрана в программном обеспечении Factory  I/O. При создании макета были учтены особенности программы, заключающиеся в размере используемых объек-  тов, которые не повлияют на фактический склад. Использование RFID-датчиков позволяет распознать товар, по-  ставляемый на склад. Каждый товар имеет RFID-метку, в которой записан код типа продукта. Метка считывается  датчиком, и информация о товаре поступает оператору, после чего объект отправляется на свой стеллаж. Датчики  RFID помогают сократить затраты предприятий и потребность в ручном труде. Помимо датчиков, определяющих  тип продукта, на складе представлены световозвращающие датчики, которые используются для обнаружения  объектов в определенной зоне. Они основаны на принципе излучения света, его отражения от объекта и после-  дующего обнаружения отраженного света. Датчик излучает световой луч в направлении объекта, который нужно  обнаружить. Это может быть видимый свет или инфракрасное излучение, в зависимости от типа датчика. При  достижении объекта световой луч отражается от его поверхности. Чем более отражательная поверхность объекта,  тем больше света отражается обратно к датчику. Датчик затем принимает отраженный свет, который возвраща-  ется от объекта. Отраженный свет попадает на фотодетектор или фотоприемник, встроенный в датчик. Получен-  ный от фотодетектора сигнал обрабатывается электронной системой датчика. Датчик анализирует интенсивность  отраженного света и определяет, присутствует ли объект в зоне обнаружения. На складе представлено 9 стелла-  жей, вместимость каждого стеллажа 54 поддона. Общая вместимость склада составляет 486 поддонов. Данное  количество стеллажей установлено в связи с соблюдением правил и особенностей хранения разных товаров. Для  большего правдоподобия в качестве сортируемых товаров используются все объекты, представленные в данном  программном обеспечении.  После получения модели, удовлетворяющей требованиями и правилам складского помещения, был соз-  дан алгоритм, обеспечивающий его работу. Программа работы складского помещения написана в программном  обеспечении TIA Portal с использованием функциональных блоков. Для обеспечения работы алгоритма исполь-  зуется программируемый логический контроллер SIMATIC S7-1500. Выбор в пользу данного контроллера был  сделан исходя из того, что данная модель имеет значительно большую вычислительную мощность и позволяет  управлять сложными автоматизированными системами. В рамках этой среды также реализован человеко-машин-  ный интерфейс, обеспечивающий удобное взаимодействие с системой. На панели оператора представлено окно  с ошибками, которые могут возникнуть в ходе работы на складе. Помимо этого, присутствует окно погрузки/  отгрузки, с помощью которого работник может отслеживать местонахождение любого груза на складе и предот-  вращать ошибки в хранении товаров.</w:t>
      </w:r>
    </w:p>
    <w:p>
      <w:r>
        <w:rPr>
          <w:sz w:val="12"/>
        </w:rPr>
      </w:r>
    </w:p>
    <w:p>
      <w:pPr>
        <w:jc w:val="center"/>
      </w:pPr>
      <w:r>
        <w:rPr>
          <w:rFonts w:ascii="Times New Roman" w:hAnsi="Times New Roman"/>
          <w:i/>
          <w:sz w:val="20"/>
        </w:rPr>
        <w:t>Список литературы</w:t>
      </w:r>
    </w:p>
    <w:p>
      <w:pPr>
        <w:jc w:val="both"/>
      </w:pPr>
      <w:r>
        <w:rPr>
          <w:rFonts w:ascii="Times New Roman" w:hAnsi="Times New Roman"/>
          <w:i/>
          <w:sz w:val="20"/>
        </w:rPr>
        <w:t>1. fggfgf</w:t>
      </w:r>
    </w:p>
    <w:p>
      <w:pPr>
        <w:jc w:val="both"/>
      </w:pPr>
      <w:r>
        <w:rPr>
          <w:rFonts w:ascii="Times New Roman" w:hAnsi="Times New Roman"/>
          <w:i/>
          <w:sz w:val="20"/>
        </w:rPr>
        <w:t>2. vbbvbv</w:t>
      </w:r>
    </w:p>
    <w:p>
      <w:pPr>
        <w:jc w:val="both"/>
      </w:pPr>
      <w:r>
        <w:rPr>
          <w:rFonts w:ascii="Times New Roman" w:hAnsi="Times New Roman"/>
          <w:i/>
          <w:sz w:val="20"/>
        </w:rPr>
        <w:t>3. rtyruu.</w:t>
      </w:r>
    </w:p>
    <w:sectPr w:rsidR="00FC693F" w:rsidRPr="0006063C" w:rsidSect="00034616">
      <w:headerReference w:type="default" r:id="rId9"/>
      <w:footerReference w:type="default" r:id="rId10"/>
      <w:pgSz w:w="11906" w:h="16838"/>
      <w:pgMar w:top="1134" w:right="1134" w:bottom="1134" w:left="1417" w:header="85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