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DC Streetcars Tagging and Relation Specification</w:t>
      </w:r>
    </w:p>
    <w:p>
      <w:r>
        <w:t>Version 0.1 • 2 October 2026 • Proposed implementation contract</w:t>
      </w:r>
    </w:p>
    <w:p>
      <w:r>
        <w:t>This specification defines how the Historic DC Streetcar Project represents physical tracks, passenger services and historical changes. Its target is an ordinary OSM public transport graph at any selected date, with OHM dates and chronology relations retaining the history.</w:t>
      </w:r>
    </w:p>
    <w:p>
      <w:r>
        <w:t>The four layers are physical railway elements, directional route states, service route master states, and a chronology for each justified continuing service identity. Research records remain a separate evidence layer. The rules below are project requirements; they do not claim that every OSM or OHM consumer implements them.</w:t>
      </w:r>
    </w:p>
    <w:p>
      <w:pPr>
        <w:pStyle w:val="Heading2"/>
      </w:pPr>
      <w:r>
        <w:t>Status and scope</w:t>
      </w:r>
    </w:p>
    <w:p>
      <w:r>
        <w:t>This is a proposal for review and implementation. Creating this document does not alter the editor, research workbook, Sept. 30 draft, or OSM export. The scope includes built streetcar infrastructure and supported passenger services from 1862 through 1962, including regional connections where documented. Proposed or chartered but unbuilt lines remain research notes.</w:t>
      </w:r>
    </w:p>
    <w:p>
      <w:r>
        <w:t>MUST identifies a conformance requirement. SHOULD identifies a recommendation whose exception needs a recorded reason. MAY identifies optional information. Unknown facts stay unknown. A structurally valid graph does not establish historical accuracy.</w:t>
      </w:r>
    </w:p>
    <w:p>
      <w:pPr>
        <w:pStyle w:val="Heading2"/>
      </w:pPr>
      <w:r>
        <w:t>Compatibility target</w:t>
      </w:r>
    </w:p>
    <w:p>
      <w:r>
        <w:t>At date t, the exporter must select the active service states, their route variants, and the physical elements they reference. That snapshot must contain ordered OSM route relations and route masters with complete references. The full historical file contains successive states that overlap geographically; a consumer must filter their dates before treating it as a current transit network.</w:t>
      </w:r>
    </w:p>
    <w:p>
      <w:r>
        <w:t>This supports standard transit geometry and relation semantics. It does not supply timetables, guarantee a particular renderer, or make complete passenger journey planning possible without stop and service data. Historical exports are intended for OHM and local tools, not upload as vanished services into current OSM.</w:t>
      </w:r>
    </w:p>
    <w:p>
      <w:pPr>
        <w:pStyle w:val="Heading2"/>
      </w:pPr>
      <w:r>
        <w:t>Document map</w:t>
      </w:r>
    </w:p>
    <w:p>
      <w:r>
        <w:t>Sections 1–3 establish identity, infrastructure and service tagging. Sections 4–6 define dates, evidence and editor operations. Sections 7–9 provide worked examples, validation and migration. Section 10 records sources and unresolved choices.</w:t>
      </w:r>
    </w:p>
    <w:p>
      <w:pPr>
        <w:pStyle w:val="Heading1"/>
        <w:pageBreakBefore/>
      </w:pPr>
      <w:r>
        <w:t>1 Objects and historical identity</w:t>
      </w:r>
    </w:p>
    <w:tbl>
      <w:tblPr>
        <w:tblW w:type="auto" w:w="0"/>
        <w:tblLayout w:type="fixed"/>
        <w:tblLook w:firstColumn="1" w:firstRow="1" w:lastColumn="0" w:lastRow="0" w:noHBand="0" w:noVBand="1" w:val="04A0"/>
      </w:tblPr>
      <w:tblGrid>
        <w:gridCol w:w="1944"/>
        <w:gridCol w:w="2232"/>
        <w:gridCol w:w="5760"/>
      </w:tblGrid>
      <w:tr>
        <w:trPr>
          <w:cantSplit/>
          <w:tblHeader/>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Layer</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Object</w:t>
            </w:r>
          </w:p>
        </w:tc>
        <w:tc>
          <w:tcPr>
            <w:tcW w:type="dxa" w:w="57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Meaning</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Physical infrastructure</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Node and way</w:t>
            </w:r>
          </w:p>
        </w:tc>
        <w:tc>
          <w:tcPr>
            <w:tcW w:type="dxa" w:w="57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Where rails and railway features existed during a state</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Direction or variant</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type=route</w:t>
            </w:r>
          </w:p>
        </w:tc>
        <w:tc>
          <w:tcPr>
            <w:tcW w:type="dxa" w:w="57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One ordered passenger journey during a state</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Service</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type=route_master</w:t>
            </w:r>
          </w:p>
        </w:tc>
        <w:tc>
          <w:tcPr>
            <w:tcW w:type="dxa" w:w="57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All supported directions and variants of one service during a state</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Service continuity</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type=chronology</w:t>
            </w:r>
          </w:p>
        </w:tc>
        <w:tc>
          <w:tcPr>
            <w:tcW w:type="dxa" w:w="57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Successive whole service states of one justified identity</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Research evidence</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Project record</w:t>
            </w:r>
          </w:p>
        </w:tc>
        <w:tc>
          <w:tcPr>
            <w:tcW w:type="dxa" w:w="57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Sources, conflicts and links to any number of mapped objects</w:t>
            </w:r>
          </w:p>
        </w:tc>
      </w:tr>
    </w:tbl>
    <w:p/>
    <w:p>
      <w:r>
        <w:t>A chronology contains route masters, each master contains routes, and each route references physical ways and any known stops or platforms. Membership roles on chronology and route master relations are blank. Chronology members are ordered earliest first and must not overlap in the project’s resolved timeline. This hierarchy is our application of the published conventions. [1–3]</w:t>
      </w:r>
    </w:p>
    <w:p>
      <w:pPr>
        <w:pStyle w:val="Heading2"/>
      </w:pPr>
      <w:r>
        <w:t>Research IDs and service IDs</w:t>
      </w:r>
    </w:p>
    <w:p>
      <w:r>
        <w:t>L01 and V01 are research identifiers, not passenger route numbers. Preserve ref:streetcar_project on supported objects as a project extension; use a semicolon list when several records substantively support the same object. Keep a structured many-to-many evidence crosswalk internally. A research record may support several services, and a service may cross several research corridors.</w:t>
      </w:r>
    </w:p>
    <w:p>
      <w:r>
        <w:t>Internal stable service_id and variant_id values MUST survive renaming and renumbering. They are editor fields, not invented historical ref tags. ref=* contains only a documented passenger designation, valid for the represented period. Omit ref for an unnumbered service.</w:t>
      </w:r>
    </w:p>
    <w:p>
      <w:pPr>
        <w:pStyle w:val="Heading2"/>
      </w:pPr>
      <w:r>
        <w:t>When continuity is justified</w:t>
      </w:r>
    </w:p>
    <w:p>
      <w:r>
        <w:t>A new operator, path, name or ref can create a new state within the same service identity when evidence supports continuity. Reuse of the same route number does not prove continuity. A merger, division or revival requires an explicit historical decision; a chronology cannot contain concurrent branches as if each were a successive whole service. Concurrent variants belong to the master.</w:t>
      </w:r>
    </w:p>
    <w:p>
      <w:r>
        <w:t>The current research chronologies must therefore be reviewed before repurposing them as service chronologies. A corridor lineage that combines several concurrent services may remain in the research database. Do not force a one-to-one correspondence with the 64 research records.</w:t>
      </w:r>
    </w:p>
    <w:p>
      <w:pPr>
        <w:pStyle w:val="Heading2"/>
      </w:pPr>
      <w:r>
        <w:t>Tags on a chronology</w:t>
      </w:r>
    </w:p>
    <w:p>
      <w:r>
        <w:t>Required: type=chronology and at least one route master member. Project requirements: a stable internal identity, supporting evidence, and dates enclosing its known members. Optional: a documented identity name and research IDs. Omit operator, ref and network when their values vary across the members. The enclosing date range does not assert uninterrupted service; actual service is determined by dated master members.</w:t>
      </w:r>
    </w:p>
    <w:p>
      <w:pPr>
        <w:pStyle w:val="Heading1"/>
        <w:pageBreakBefore/>
      </w:pPr>
      <w:r>
        <w:t>2 Physical tracks and railway nodes</w:t>
      </w:r>
    </w:p>
    <w:tbl>
      <w:tblPr>
        <w:tblW w:type="auto" w:w="0"/>
        <w:tblLayout w:type="fixed"/>
        <w:tblLook w:firstColumn="1" w:firstRow="1" w:lastColumn="0" w:lastRow="0" w:noHBand="0" w:noVBand="1" w:val="04A0"/>
      </w:tblPr>
      <w:tblGrid>
        <w:gridCol w:w="1728"/>
        <w:gridCol w:w="4032"/>
        <w:gridCol w:w="4176"/>
      </w:tblGrid>
      <w:tr>
        <w:trPr>
          <w:cantSplit/>
          <w:tblHeader/>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Object</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Required for the strict profile</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Optional when supported</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Track way</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railway=tram; supported state dates; geometry provenance</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gauge; electrified; voltage; frequency; embedded_rails; bridge; tunnel; layer; service</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Switch node</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railway=switch; supported feature dates</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railway:switch subtype; source</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Rail crossing node</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railway=railway_crossing; supported feature dates</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source; documented crossing details</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Buffer stop</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railway=buffer_stop; supported feature dates</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source</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Shape node</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Coordinates; references from ways</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Usually no tags or independent dates</w:t>
            </w:r>
          </w:p>
        </w:tc>
      </w:tr>
    </w:tbl>
    <w:p/>
    <w:p>
      <w:r>
        <w:t>Every mapped physical track state MUST exist once, regardless of the number of services using it. A way represents a track centerline where evidence supports that precision. Two parallel running tracks are distinct infrastructure, not duplicate service geometry. A provisional corridor centerline may remain in working data, but strict track-level export must identify and resolve that generalization. Do not manufacture parallel offsets from an unspecific map.</w:t>
      </w:r>
    </w:p>
    <w:p>
      <w:r>
        <w:t>Track tags describe physical attributes. A service number or service operator belongs on its route and master. A documented infrastructure owner, infrastructure operator or physical railway name may legitimately belong on a way; it must not be inferred from the passenger service.</w:t>
      </w:r>
    </w:p>
    <w:p>
      <w:pPr>
        <w:pStyle w:val="Heading2"/>
      </w:pPr>
      <w:r>
        <w:t>Crossings and connectivity</w:t>
      </w:r>
    </w:p>
    <w:p>
      <w:r>
        <w:t>Connecting rails share nodes at the actual connection. A same-level diamond crossing shares a railway_crossing node, but its permitted movement follows the continuing tracks; it does not enable an arbitrary turn. A slip switch enables additional movements and must be identified from evidence. Grade-separated tracks do not share a node merely because they intersect on the screen. Use bridge, tunnel and layer as supported. [4]</w:t>
      </w:r>
    </w:p>
    <w:p>
      <w:r>
        <w:t>The validator MUST distinguish node adjacency from a physically possible rail movement. At a crossing, continuation must be established from geometry or evidence; an ambiguous movement needs review. A date-aware crossing check considers only tracks present at the same time. Endpoint proximity alone does not establish connectivity.</w:t>
      </w:r>
    </w:p>
    <w:p>
      <w:pPr>
        <w:pStyle w:val="Heading2"/>
      </w:pPr>
      <w:r>
        <w:t>Track life and track states</w:t>
      </w:r>
    </w:p>
    <w:p>
      <w:r>
        <w:t>A way’s dates describe the period when its geometry and tags were true. Passenger service cessation does not establish removal of rails. If tracks remained after service ended, retain the infrastructure and represent an evidenced later railway state separately when its tags change. Do not apply demolished or disused prefixes to the entire earlier active period.</w:t>
      </w:r>
    </w:p>
    <w:p>
      <w:r>
        <w:t>Spatially split a way where properties, track life, branching or route entry and exit require separate segments. Temporally split it when a physical attribute or alignment changes. Unchanged tracks can serve many service states without temporal copies. gauge is in millimetres; frequency=0 denotes DC supply. Never fill these values solely from a system-wide assumption. [5]</w:t>
      </w:r>
    </w:p>
    <w:p>
      <w:pPr>
        <w:pStyle w:val="Heading1"/>
        <w:pageBreakBefore/>
      </w:pPr>
      <w:r>
        <w:t>3 Route and route master tagging</w:t>
      </w:r>
    </w:p>
    <w:tbl>
      <w:tblPr>
        <w:tblW w:type="auto" w:w="0"/>
        <w:tblLayout w:type="fixed"/>
        <w:tblLook w:firstColumn="1" w:firstRow="1" w:lastColumn="0" w:lastRow="0" w:noHBand="0" w:noVBand="1" w:val="04A0"/>
      </w:tblPr>
      <w:tblGrid>
        <w:gridCol w:w="2736"/>
        <w:gridCol w:w="3600"/>
        <w:gridCol w:w="3600"/>
      </w:tblGrid>
      <w:tr>
        <w:trPr>
          <w:cantSplit/>
          <w:tblHeader/>
        </w:trPr>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Key</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Route state</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Route master state</w:t>
            </w:r>
          </w:p>
        </w:tc>
      </w:tr>
      <w:tr>
        <w:trPr>
          <w:cantSplit/>
        </w:trPr>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type</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route — MUST</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route_master — MUST</w:t>
            </w:r>
          </w:p>
        </w:tc>
      </w:tr>
      <w:tr>
        <w:trPr>
          <w:cantSplit/>
        </w:trPr>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Mode</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route=tram — MUST</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route_master=tram — MUST</w:t>
            </w:r>
          </w:p>
        </w:tc>
      </w:tr>
      <w:tr>
        <w:trPr>
          <w:cantSplit/>
        </w:trPr>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public_transport:version</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2 — MUST in strict PTv2 profile</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Omit; version describes the child routes</w:t>
            </w:r>
          </w:p>
        </w:tc>
      </w:tr>
      <w:tr>
        <w:trPr>
          <w:cantSplit/>
        </w:trPr>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start_date and end_date</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MUST for resolved past states</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MUST; same interval as child routes</w:t>
            </w:r>
          </w:p>
        </w:tc>
      </w:tr>
      <w:tr>
        <w:trPr>
          <w:cantSplit/>
        </w:trPr>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ref</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Documented passenger number if any</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Same designation as its variants</w:t>
            </w:r>
          </w:p>
        </w:tc>
      </w:tr>
      <w:tr>
        <w:trPr>
          <w:cantSplit/>
        </w:trPr>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from and to</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SHOULD where termini are known</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Usually omit</w:t>
            </w:r>
          </w:p>
        </w:tc>
      </w:tr>
      <w:tr>
        <w:trPr>
          <w:cantSplit/>
        </w:trPr>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via</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MAY distinguish supported variants</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Usually omit</w:t>
            </w:r>
          </w:p>
        </w:tc>
      </w:tr>
      <w:tr>
        <w:trPr>
          <w:cantSplit/>
        </w:trPr>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name</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Only a supported service name</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Only a supported service name</w:t>
            </w:r>
          </w:p>
        </w:tc>
      </w:tr>
      <w:tr>
        <w:trPr>
          <w:cantSplit/>
        </w:trPr>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operator and network</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SHOULD when established</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SHOULD when established</w:t>
            </w:r>
          </w:p>
        </w:tc>
      </w:tr>
      <w:tr>
        <w:trPr>
          <w:cantSplit/>
        </w:trPr>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source and research link</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MUST evidence; MAY project ref</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MUST evidence; MAY project ref</w:t>
            </w:r>
          </w:p>
        </w:tc>
      </w:tr>
    </w:tbl>
    <w:p/>
    <w:p>
      <w:r>
        <w:t>Each directional route MUST describe one ordered traversal. A branch or alternate path is a separate variant. A true circular service may have one route; separate opposite circulations when both existed. Reverse travel may use the same shared ways in reverse order only when those rails and that traversal are justified. Do not infer return loops or paired tracks. [1, 6]</w:t>
      </w:r>
    </w:p>
    <w:p>
      <w:r>
        <w:t>Known stop positions and platforms come first in passenger order, followed by track ways in travel order. Use blank roles for track ways and stop/platform roles, or the standard entry_only and exit_only variants, for stop objects. Split ways at route entry and exit so the entire referenced segment is traversed. Repeated way occurrences are valid when a journey genuinely traverses that segment again; the relation is a sequence, not a set.</w:t>
      </w:r>
    </w:p>
    <w:p>
      <w:r>
        <w:t>A master MUST contain one or more route relations, with no direct track or stop members. All supported variants of that service state belong to it. For this project’s strict profile, master and child routes have identical state boundaries. If only one variant changes, split the master and clone unchanged variants into the new interval, keeping their stable variant identity. This synchronization is a project choice, not a universal OSM requirement. [2]</w:t>
      </w:r>
    </w:p>
    <w:p>
      <w:r>
        <w:t>Display labels such as “Tram 42: A → B (1936–1949)” are generated by the editor. Do not automatically put them in name=*. Current tram guidance cautions against fabricated descriptive names. Use documented names, ref, from and to instead. Editorial palette colours stay in app metadata; colour=* requires evidence of an actual service colour. [6]</w:t>
      </w:r>
    </w:p>
    <w:p>
      <w:pPr>
        <w:pStyle w:val="Heading1"/>
        <w:pageBreakBefore/>
      </w:pPr>
      <w:r>
        <w:t>4 Dates uncertainty and stops</w:t>
      </w:r>
    </w:p>
    <w:p>
      <w:pPr>
        <w:pStyle w:val="Heading2"/>
      </w:pPr>
      <w:r>
        <w:t>Resolved time intervals</w:t>
      </w:r>
    </w:p>
    <w:p>
      <w:r>
        <w:t>The editor MUST use half-open intervals: start is included, end is excluded. A state is active when start ≤ t &lt; end. At a transition date D, the old state ends at D and its successor begins at D. This follows OHM’s description of an end date as the point from which the previous state is no longer accurate. [7, 8]</w:t>
      </w:r>
    </w:p>
    <w:p>
      <w:r>
        <w:t>Support YYYY, YYYY-MM and YYYY-MM-DD as valid calendar dates. Preserve the precision supplied by evidence. For deterministic display only, normalize a year or month to its first day internally; retain the original precision and warn that within-year or within-month snapshots are uncertain. Never replace a stored year with an apparently exact January 1 date.</w:t>
      </w:r>
    </w:p>
    <w:p>
      <w:r>
        <w:t>“Last day of operation” and “effective withdrawal date” MUST be distinguished. If evidence expressly establishes the last operating day and continuous service through that day, the internal exclusive boundary is the following day. Record that derivation. Do not apply this conversion blindly to a source saying only “ended in 1949”. Time-of-day events need separate evidence metadata or EDTF; v0.1 snapshots operate at day precision.</w:t>
      </w:r>
    </w:p>
    <w:p>
      <w:pPr>
        <w:pStyle w:val="Heading2"/>
      </w:pPr>
      <w:r>
        <w:t>Unknown and disputed dates</w:t>
      </w:r>
    </w:p>
    <w:p>
      <w:r>
        <w:t>Basic dates use supported plain date syntax. Qualify approximation with start_date:edtf=1895~ or uncertainty with 1895?. For an unresolved 1936 versus 1937 disagreement, an EDTF set such as [1936,1937] can preserve alternatives; [1936..1937] expresses a range of possibilities. Also record the competing sources and reasons. A compatibility date is a documented display choice, not a resolved historical claim. [9]</w:t>
      </w:r>
    </w:p>
    <w:p>
      <w:r>
        <w:t>Do not infer an opening from a charter, abandonment from corporate dissolution, rail removal from bus conversion, or a whole Virginia railway’s life from its DC through-running period. Evidence known only “as of” a map date must not be converted into an opening and closing in that year. Keep unresolved records in working data until a defensible temporal representation is chosen.</w:t>
      </w:r>
    </w:p>
    <w:p>
      <w:r>
        <w:t>Strict resolved export requires usable start and end dates for extinct states. An actually extant feature may omit end_date. Unknown bounds in working data must have an explicit internal status; absence of an end tag must not silently mean that a demolished track survives today. Plain shape nodes are exempt from independent lifespan requirements.</w:t>
      </w:r>
    </w:p>
    <w:p>
      <w:pPr>
        <w:pStyle w:val="Heading2"/>
      </w:pPr>
      <w:r>
        <w:t>Stops and platforms</w:t>
      </w:r>
    </w:p>
    <w:p>
      <w:r>
        <w:t>A track stop position uses public_transport=stop_position and tram=yes. A separately known waiting place uses public_transport=platform and tram=yes. Use a node, way or area appropriate to the evidence. Dates and sources describe that stop state, independently of the physical rails. Include known served objects in route order. A stop_area is optional when the association is established. Unknown stops must not be invented; geometry-only routes carry an internal stop-completeness status and cannot promise full passenger routing. [1, 6]</w:t>
      </w:r>
    </w:p>
    <w:p>
      <w:pPr>
        <w:pStyle w:val="Heading1"/>
        <w:pageBreakBefore/>
      </w:pPr>
      <w:r>
        <w:t>5 Motive power and evidence</w:t>
      </w:r>
    </w:p>
    <w:p>
      <w:pPr>
        <w:pStyle w:val="Heading2"/>
      </w:pPr>
      <w:r>
        <w:t>Project traction extension</w:t>
      </w:r>
    </w:p>
    <w:p>
      <w:r>
        <w:t>Use streetcar:traction=* on route states as a provisional project extension. It supplements the standard transit graph and may be ignored by other consumers. v0.1 values are horse, cable, electric, electric_conduit, electric_overhead, storage_battery, compressed_air and gasoline. electric means that electric propulsion is established but the collection system is not. Omit the tag when motive power is unknown.</w:t>
      </w:r>
    </w:p>
    <w:p>
      <w:r>
        <w:t>The existing railway:traction=horse/cable/electric values can map to their corresponding project values without claiming a more specific system. Preserve original values in migration records. Do not infer electric_conduit or electric_overhead from the generic electric value. Regional mixed systems and experimental concurrent power require further evidence; record unresolved combinations internally rather than force a false single value.</w:t>
      </w:r>
    </w:p>
    <w:p>
      <w:r>
        <w:t>A route crossing conduit and overhead sections may have a supported semicolon set of both values; a spatial evidence record must identify where each applies. Concurrent propulsion variants may be separate route variants if the service distinction is established. A succession in traction creates a new route state, then a synchronized master state. A short experiment does not prove that the entire line converted.</w:t>
      </w:r>
    </w:p>
    <w:p>
      <w:pPr>
        <w:pStyle w:val="Heading2"/>
      </w:pPr>
      <w:r>
        <w:t>Physical electricity and gauge</w:t>
      </w:r>
    </w:p>
    <w:p>
      <w:r>
        <w:t>Put electrified, voltage and frequency on the physical track state only when supported for its entire interval. electrified=contact_line represents overhead supply. Use electrified=yes if physical electrification is established but no justified standard subtype is available. Conduit is not automatically equivalent to modern ground-level power supply or a third-rail system. If needed, retain streetcar:power_collection=conduit as a project extension, explicitly subject to OHM community review. [5]</w:t>
      </w:r>
    </w:p>
    <w:p>
      <w:r>
        <w:t>A battery-powered tram does not prove that the track is electrified. Cable and horse propulsion do not establish an electrical supply. Distinct gauge or supply changes require physical states; route-level changes alone do not require duplicating unchanged ways.</w:t>
      </w:r>
    </w:p>
    <w:p>
      <w:pPr>
        <w:pStyle w:val="Heading2"/>
      </w:pPr>
      <w:r>
        <w:t>Sources and publication provenance</w:t>
      </w:r>
    </w:p>
    <w:p>
      <w:r>
        <w:t>The evidence store MUST record title, author or institution, date, URL or archive identifier, page or plate, geographic extent, supported claims, and review status. Map edition, scan identity, georeferencing transform and tracing provenance are needed for geometry. source=* summarizes intelligible citations; source:geometry, source:start_date and source:end_date MAY identify narrower support. These refinements are project conventions. Source codes such as WP or MPD need a resolvable source register.</w:t>
      </w:r>
    </w:p>
    <w:p>
      <w:r>
        <w:t>UNREVIEWED audits remain leads. The accepted-corrections script records an applied subset; neither an audit nor a schema migration makes its historical claims accepted. Distinguish verified geometry, inferred service use and unresolved dates per claim.</w:t>
      </w:r>
    </w:p>
    <w:p>
      <w:r>
        <w:t>Maintain separate structural and publication checks. Current OSM-derived alignment remains working geometry until independently retraced or otherwise cleared for the intended contribution. Reformatting, snapping or tagging it does not remove provenance. OHM’s copyright guidance allows some licensed contributions but requires attention to database rights; this project retains its public-domain tracing target. Never add license=CC0-1.0 merely because the export is destined for OHM. [10]</w:t>
      </w:r>
    </w:p>
    <w:p>
      <w:pPr>
        <w:pStyle w:val="Heading1"/>
        <w:pageBreakBefore/>
      </w:pPr>
      <w:r>
        <w:t>6 Editor operations and state splitting</w:t>
      </w:r>
    </w:p>
    <w:p>
      <w:pPr>
        <w:pStyle w:val="Heading2"/>
      </w:pPr>
      <w:r>
        <w:t>Correcting evidence versus recording a change</w:t>
      </w:r>
    </w:p>
    <w:p>
      <w:r>
        <w:t>A corrected interpretation or drawing updates the affected historical representation and its revision history. It does not create a fictional historical transition on the day the researcher edited it. A documented change in the real world creates a new dated state. The editor MUST ask which kind of change is intended when the operation is ambiguous.</w:t>
      </w:r>
    </w:p>
    <w:tbl>
      <w:tblPr>
        <w:tblW w:type="auto" w:w="0"/>
        <w:tblLayout w:type="fixed"/>
        <w:tblLook w:firstColumn="1" w:firstRow="1" w:lastColumn="0" w:lastRow="0" w:noHBand="0" w:noVBand="1" w:val="04A0"/>
      </w:tblPr>
      <w:tblGrid>
        <w:gridCol w:w="2880"/>
        <w:gridCol w:w="2592"/>
        <w:gridCol w:w="4464"/>
      </w:tblGrid>
      <w:tr>
        <w:trPr>
          <w:cantSplit/>
          <w:tblHeader/>
        </w:trPr>
        <w:tc>
          <w:tcPr>
            <w:tcW w:type="dxa" w:w="28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Trigger</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Objects affected</w:t>
            </w:r>
          </w:p>
        </w:tc>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Required result</w:t>
            </w:r>
          </w:p>
        </w:tc>
      </w:tr>
      <w:tr>
        <w:trPr>
          <w:cantSplit/>
        </w:trPr>
        <w:tc>
          <w:tcPr>
            <w:tcW w:type="dxa" w:w="28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Service operator, ref, name, termini or traction changes</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Route states and master</w:t>
            </w:r>
          </w:p>
        </w:tc>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Split at supported boundary; leave tracks unchanged</w:t>
            </w:r>
          </w:p>
        </w:tc>
      </w:tr>
      <w:tr>
        <w:trPr>
          <w:cantSplit/>
        </w:trPr>
        <w:tc>
          <w:tcPr>
            <w:tcW w:type="dxa" w:w="28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Variant path or served stops change</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Affected variant and master</w:t>
            </w:r>
          </w:p>
        </w:tc>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Create new ordered traversal; clone unchanged variants into the new master interval</w:t>
            </w:r>
          </w:p>
        </w:tc>
      </w:tr>
      <w:tr>
        <w:trPr>
          <w:cantSplit/>
        </w:trPr>
        <w:tc>
          <w:tcPr>
            <w:tcW w:type="dxa" w:w="28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Track alignment or physical property changes</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Ways and dependent routes</w:t>
            </w:r>
          </w:p>
        </w:tc>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Create physical successors; split every dependent route and master where references change</w:t>
            </w:r>
          </w:p>
        </w:tc>
      </w:tr>
      <w:tr>
        <w:trPr>
          <w:cantSplit/>
        </w:trPr>
        <w:tc>
          <w:tcPr>
            <w:tcW w:type="dxa" w:w="28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Spatial way split</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Way and every referring route</w:t>
            </w:r>
          </w:p>
        </w:tc>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Replace each occurrence with ordered subways; retain dates</w:t>
            </w:r>
          </w:p>
        </w:tc>
      </w:tr>
      <w:tr>
        <w:trPr>
          <w:cantSplit/>
        </w:trPr>
        <w:tc>
          <w:tcPr>
            <w:tcW w:type="dxa" w:w="28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Research continuity decision</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Service IDs and chronology</w:t>
            </w:r>
          </w:p>
        </w:tc>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Record decision and crosswalk; do not infer from route number</w:t>
            </w:r>
          </w:p>
        </w:tc>
      </w:tr>
      <w:tr>
        <w:trPr>
          <w:cantSplit/>
        </w:trPr>
        <w:tc>
          <w:tcPr>
            <w:tcW w:type="dxa" w:w="28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Source correction or tag typo</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Affected state and evidence</w:t>
            </w:r>
          </w:p>
        </w:tc>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Correct represented facts; retain audit history</w:t>
            </w:r>
          </w:p>
        </w:tc>
      </w:tr>
    </w:tbl>
    <w:p/>
    <w:p>
      <w:r>
        <w:t>Every operation MUST be atomic and undoable, with an affected-object preview and evidence link. A time-limited line-use edit must target a service, variant and interval, not just an L## corridor. The editor must locate or request the ordered insertion position. Appending an arbitrary set of ways does not construct a valid passenger route.</w:t>
      </w:r>
    </w:p>
    <w:p>
      <w:pPr>
        <w:pStyle w:val="Heading2"/>
      </w:pPr>
      <w:r>
        <w:t>Propagation algorithm</w:t>
      </w:r>
    </w:p>
    <w:p>
      <w:r>
        <w:t>Collect relevant event boundaries; partition the affected interval; construct each state using the facts true there; replace physical references where necessary; rebuild synchronized masters and chronology membership; validate references, movement and time containment; then commit. If a route member does not exist for the whole route interval, split the route at that member’s boundary or leave it unresolved. Never stretch a member’s dates just to pass validation.</w:t>
      </w:r>
    </w:p>
    <w:p>
      <w:r>
        <w:t>A node relocation affects every incident way. A temporal relocation needs successor nodes and appropriate way states. If a railway node’s feature tags cover a shorter period than its use as a shared shape node, preserve the geometric continuity explicitly; do not hide all incident rails merely because a switch tag ended. Temporal node topology must be validated before strict export.</w:t>
      </w:r>
    </w:p>
    <w:p>
      <w:pPr>
        <w:pStyle w:val="Heading2"/>
      </w:pPr>
      <w:r>
        <w:t>Safe merging</w:t>
      </w:r>
    </w:p>
    <w:p>
      <w:r>
        <w:t>Merge adjacent states only when their full semantic tags and ordered member occurrences, types and roles match, identity continuity is established, and uncertainty and evidence are compatible. Merge provenance without losing claims. Generated UI labels and timestamps do not define historical equality. Different member order is a different traversal. master states merge only when all variants and their histories can be reconciled. Chronology membership and export ID crosswalks must be repaired in the same transaction.</w:t>
      </w:r>
    </w:p>
    <w:p>
      <w:pPr>
        <w:pStyle w:val="Heading1"/>
        <w:pageBreakBefore/>
      </w:pPr>
      <w:r>
        <w:t>7 Worked service example</w:t>
      </w:r>
    </w:p>
    <w:p>
      <w:r>
        <w:t>This example is synthetic. Service R7, places A–C and all dates below demonstrate the mechanism; they are not claims about a DC route. Three physical ways W1, W2 and W3 exist throughout 1900–1930. A two-direction service uses W1 and W2 during 1910–1915, then extends to W3 during 1915–1920.</w:t>
      </w:r>
    </w:p>
    <w:tbl>
      <w:tblPr>
        <w:tblW w:type="auto" w:w="0"/>
        <w:tblLayout w:type="fixed"/>
        <w:tblLook w:firstColumn="1" w:firstRow="1" w:lastColumn="0" w:lastRow="0" w:noHBand="0" w:noVBand="1" w:val="04A0"/>
      </w:tblPr>
      <w:tblGrid>
        <w:gridCol w:w="3744"/>
        <w:gridCol w:w="1656"/>
        <w:gridCol w:w="4536"/>
      </w:tblGrid>
      <w:tr>
        <w:trPr>
          <w:cantSplit/>
          <w:tblHeader/>
        </w:trPr>
        <w:tc>
          <w:tcPr>
            <w:tcW w:type="dxa" w:w="37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Object</w:t>
            </w:r>
          </w:p>
        </w:tc>
        <w:tc>
          <w:tcPr>
            <w:tcW w:type="dxa" w:w="16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Interval</w:t>
            </w:r>
          </w:p>
        </w:tc>
        <w:tc>
          <w:tcPr>
            <w:tcW w:type="dxa" w:w="45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Ordered members</w:t>
            </w:r>
          </w:p>
        </w:tc>
      </w:tr>
      <w:tr>
        <w:trPr>
          <w:cantSplit/>
        </w:trPr>
        <w:tc>
          <w:tcPr>
            <w:tcW w:type="dxa" w:w="37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Route R7 outbound state 1</w:t>
            </w:r>
          </w:p>
        </w:tc>
        <w:tc>
          <w:tcPr>
            <w:tcW w:type="dxa" w:w="16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1910–1915</w:t>
            </w:r>
          </w:p>
        </w:tc>
        <w:tc>
          <w:tcPr>
            <w:tcW w:type="dxa" w:w="45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W1, W2</w:t>
            </w:r>
          </w:p>
        </w:tc>
      </w:tr>
      <w:tr>
        <w:trPr>
          <w:cantSplit/>
        </w:trPr>
        <w:tc>
          <w:tcPr>
            <w:tcW w:type="dxa" w:w="37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Route R7 inbound state 1</w:t>
            </w:r>
          </w:p>
        </w:tc>
        <w:tc>
          <w:tcPr>
            <w:tcW w:type="dxa" w:w="16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1910–1915</w:t>
            </w:r>
          </w:p>
        </w:tc>
        <w:tc>
          <w:tcPr>
            <w:tcW w:type="dxa" w:w="45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W2, W1</w:t>
            </w:r>
          </w:p>
        </w:tc>
      </w:tr>
      <w:tr>
        <w:trPr>
          <w:cantSplit/>
        </w:trPr>
        <w:tc>
          <w:tcPr>
            <w:tcW w:type="dxa" w:w="37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Master R7 state 1</w:t>
            </w:r>
          </w:p>
        </w:tc>
        <w:tc>
          <w:tcPr>
            <w:tcW w:type="dxa" w:w="16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1910–1915</w:t>
            </w:r>
          </w:p>
        </w:tc>
        <w:tc>
          <w:tcPr>
            <w:tcW w:type="dxa" w:w="45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Outbound state 1; inbound state 1</w:t>
            </w:r>
          </w:p>
        </w:tc>
      </w:tr>
      <w:tr>
        <w:trPr>
          <w:cantSplit/>
        </w:trPr>
        <w:tc>
          <w:tcPr>
            <w:tcW w:type="dxa" w:w="37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Route R7 outbound state 2</w:t>
            </w:r>
          </w:p>
        </w:tc>
        <w:tc>
          <w:tcPr>
            <w:tcW w:type="dxa" w:w="16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1915–1920</w:t>
            </w:r>
          </w:p>
        </w:tc>
        <w:tc>
          <w:tcPr>
            <w:tcW w:type="dxa" w:w="45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W1, W2, W3</w:t>
            </w:r>
          </w:p>
        </w:tc>
      </w:tr>
      <w:tr>
        <w:trPr>
          <w:cantSplit/>
        </w:trPr>
        <w:tc>
          <w:tcPr>
            <w:tcW w:type="dxa" w:w="37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Route R7 inbound state 2</w:t>
            </w:r>
          </w:p>
        </w:tc>
        <w:tc>
          <w:tcPr>
            <w:tcW w:type="dxa" w:w="16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1915–1920</w:t>
            </w:r>
          </w:p>
        </w:tc>
        <w:tc>
          <w:tcPr>
            <w:tcW w:type="dxa" w:w="45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W3, W2, W1</w:t>
            </w:r>
          </w:p>
        </w:tc>
      </w:tr>
      <w:tr>
        <w:trPr>
          <w:cantSplit/>
        </w:trPr>
        <w:tc>
          <w:tcPr>
            <w:tcW w:type="dxa" w:w="37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Master R7 state 2</w:t>
            </w:r>
          </w:p>
        </w:tc>
        <w:tc>
          <w:tcPr>
            <w:tcW w:type="dxa" w:w="16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1915–1920</w:t>
            </w:r>
          </w:p>
        </w:tc>
        <w:tc>
          <w:tcPr>
            <w:tcW w:type="dxa" w:w="45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Outbound state 2; inbound state 2</w:t>
            </w:r>
          </w:p>
        </w:tc>
      </w:tr>
      <w:tr>
        <w:trPr>
          <w:cantSplit/>
        </w:trPr>
        <w:tc>
          <w:tcPr>
            <w:tcW w:type="dxa" w:w="37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Chronology R7</w:t>
            </w:r>
          </w:p>
        </w:tc>
        <w:tc>
          <w:tcPr>
            <w:tcW w:type="dxa" w:w="16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1910–1920</w:t>
            </w:r>
          </w:p>
        </w:tc>
        <w:tc>
          <w:tcPr>
            <w:tcW w:type="dxa" w:w="45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Master state 1; master state 2</w:t>
            </w:r>
          </w:p>
        </w:tc>
      </w:tr>
    </w:tbl>
    <w:p/>
    <w:p>
      <w:r>
        <w:t>The reverse ordering presumes that these synthetic tracks permit travel in both directions and that the return path is evidenced. A second service may reference W2 at the same time without creating another copy. At 1915-01-01 only the second master state is selected under the project’s year-boundary display rule.</w:t>
      </w:r>
    </w:p>
    <w:p>
      <w:pPr>
        <w:keepNext/>
        <w:spacing w:after="0" w:line="240" w:lineRule="auto"/>
      </w:pPr>
      <w:r>
        <w:rPr>
          <w:rFonts w:ascii="Consolas" w:hAnsi="Consolas"/>
          <w:sz w:val="20"/>
        </w:rPr>
        <w:t>type=route</w:t>
      </w:r>
    </w:p>
    <w:p>
      <w:pPr>
        <w:keepNext/>
        <w:spacing w:after="0" w:line="240" w:lineRule="auto"/>
      </w:pPr>
      <w:r>
        <w:rPr>
          <w:rFonts w:ascii="Consolas" w:hAnsi="Consolas"/>
          <w:sz w:val="20"/>
        </w:rPr>
        <w:t>route=tram</w:t>
      </w:r>
    </w:p>
    <w:p>
      <w:pPr>
        <w:keepNext/>
        <w:spacing w:after="0" w:line="240" w:lineRule="auto"/>
      </w:pPr>
      <w:r>
        <w:rPr>
          <w:rFonts w:ascii="Consolas" w:hAnsi="Consolas"/>
          <w:sz w:val="20"/>
        </w:rPr>
        <w:t>public_transport:version=2</w:t>
      </w:r>
    </w:p>
    <w:p>
      <w:pPr>
        <w:keepNext/>
        <w:spacing w:after="0" w:line="240" w:lineRule="auto"/>
      </w:pPr>
      <w:r>
        <w:rPr>
          <w:rFonts w:ascii="Consolas" w:hAnsi="Consolas"/>
          <w:sz w:val="20"/>
        </w:rPr>
        <w:t>ref=R7</w:t>
      </w:r>
    </w:p>
    <w:p>
      <w:pPr>
        <w:keepNext/>
        <w:spacing w:after="0" w:line="240" w:lineRule="auto"/>
      </w:pPr>
      <w:r>
        <w:rPr>
          <w:rFonts w:ascii="Consolas" w:hAnsi="Consolas"/>
          <w:sz w:val="20"/>
        </w:rPr>
        <w:t>from=A</w:t>
      </w:r>
    </w:p>
    <w:p>
      <w:pPr>
        <w:keepNext/>
        <w:spacing w:after="0" w:line="240" w:lineRule="auto"/>
      </w:pPr>
      <w:r>
        <w:rPr>
          <w:rFonts w:ascii="Consolas" w:hAnsi="Consolas"/>
          <w:sz w:val="20"/>
        </w:rPr>
        <w:t>to=C</w:t>
      </w:r>
    </w:p>
    <w:p>
      <w:pPr>
        <w:keepNext/>
        <w:spacing w:after="0" w:line="240" w:lineRule="auto"/>
      </w:pPr>
      <w:r>
        <w:rPr>
          <w:rFonts w:ascii="Consolas" w:hAnsi="Consolas"/>
          <w:sz w:val="20"/>
        </w:rPr>
        <w:t>start_date=1915</w:t>
      </w:r>
    </w:p>
    <w:p>
      <w:pPr>
        <w:keepNext/>
        <w:spacing w:after="0" w:line="240" w:lineRule="auto"/>
      </w:pPr>
      <w:r>
        <w:rPr>
          <w:rFonts w:ascii="Consolas" w:hAnsi="Consolas"/>
          <w:sz w:val="20"/>
        </w:rPr>
        <w:t>end_date=1920</w:t>
      </w:r>
    </w:p>
    <w:p>
      <w:pPr>
        <w:keepNext/>
        <w:spacing w:after="0" w:line="240" w:lineRule="auto"/>
      </w:pPr>
      <w:r>
        <w:rPr>
          <w:rFonts w:ascii="Consolas" w:hAnsi="Consolas"/>
          <w:sz w:val="20"/>
        </w:rPr>
        <w:t>streetcar:traction=electric</w:t>
      </w:r>
    </w:p>
    <w:p>
      <w:pPr>
        <w:keepNext w:val="0"/>
        <w:spacing w:after="120" w:line="240" w:lineRule="auto"/>
      </w:pPr>
      <w:r>
        <w:rPr>
          <w:rFonts w:ascii="Consolas" w:hAnsi="Consolas"/>
          <w:sz w:val="20"/>
        </w:rPr>
        <w:t># Track members: W1, W2, W3 with blank roles</w:t>
      </w:r>
    </w:p>
    <w:p>
      <w:r>
        <w:t>The master uses type=route_master, route_master=tram, ref=R7 and the same dates. The chronology uses type=chronology and holds the two masters in date order. Sources are required in a real export; a source is omitted here because the example is invented. The editor can generate a readable display name without adding a fictional name tag.</w:t>
      </w:r>
    </w:p>
    <w:p>
      <w:pPr>
        <w:pStyle w:val="Heading2"/>
      </w:pPr>
      <w:r>
        <w:t>Physical change without a service change</w:t>
      </w:r>
    </w:p>
    <w:p>
      <w:r>
        <w:t>If W2 becomes overhead-electrified in 1917, replace it with W2a before 1917 and W2b afterward, with non-overlapping physical state dates. Split both affected route states and their master at 1917 even if the service retains its ref and termini. Keep W1 and W3 shared and unchanged. The chronology now has three master states. A change only in service operator requires service states but no track copies.</w:t>
      </w:r>
    </w:p>
    <w:p>
      <w:pPr>
        <w:pStyle w:val="Heading1"/>
        <w:pageBreakBefore/>
      </w:pPr>
      <w:r>
        <w:t>8 Validation and export contract</w:t>
      </w:r>
    </w:p>
    <w:tbl>
      <w:tblPr>
        <w:tblW w:type="auto" w:w="0"/>
        <w:tblLayout w:type="fixed"/>
        <w:tblLook w:firstColumn="1" w:firstRow="1" w:lastColumn="0" w:lastRow="0" w:noHBand="0" w:noVBand="1" w:val="04A0"/>
      </w:tblPr>
      <w:tblGrid>
        <w:gridCol w:w="936"/>
        <w:gridCol w:w="7272"/>
        <w:gridCol w:w="1728"/>
      </w:tblGrid>
      <w:tr>
        <w:trPr>
          <w:cantSplit/>
          <w:tblHeader/>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Rule ID</w:t>
            </w:r>
          </w:p>
        </w:tc>
        <w:tc>
          <w:tcPr>
            <w:tcW w:type="dxa" w:w="72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Strict export check</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5" w:lineRule="auto"/>
            </w:pPr>
            <w:r>
              <w:rPr>
                <w:b/>
                <w:sz w:val="20"/>
              </w:rPr>
              <w:t>Severity</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G01</w:t>
            </w:r>
          </w:p>
        </w:tc>
        <w:tc>
          <w:tcPr>
            <w:tcW w:type="dxa" w:w="72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Unique IDs by element type; all member and node references resolve</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Error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G02</w:t>
            </w:r>
          </w:p>
        </w:tc>
        <w:tc>
          <w:tcPr>
            <w:tcW w:type="dxa" w:w="72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Ways have at least two distinct nodes and valid coordinates</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Error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R01</w:t>
            </w:r>
          </w:p>
        </w:tc>
        <w:tc>
          <w:tcPr>
            <w:tcW w:type="dxa" w:w="72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Route has type, mode, PTv2 tag and a complete ordered traversal</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Error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R02</w:t>
            </w:r>
          </w:p>
        </w:tc>
        <w:tc>
          <w:tcPr>
            <w:tcW w:type="dxa" w:w="72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No unsupported jump, fork, turn at diamond crossing or direction conflict</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Error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R03</w:t>
            </w:r>
          </w:p>
        </w:tc>
        <w:tc>
          <w:tcPr>
            <w:tcW w:type="dxa" w:w="72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Stop members precede tracks, with supported roles and travel order</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Error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M01</w:t>
            </w:r>
          </w:p>
        </w:tc>
        <w:tc>
          <w:tcPr>
            <w:tcW w:type="dxa" w:w="72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Master contains only routes with compatible identity and mode</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Error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T01</w:t>
            </w:r>
          </w:p>
        </w:tc>
        <w:tc>
          <w:tcPr>
            <w:tcW w:type="dxa" w:w="72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Valid calendar dates; resolved start precedes end</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Error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T02</w:t>
            </w:r>
          </w:p>
        </w:tc>
        <w:tc>
          <w:tcPr>
            <w:tcW w:type="dxa" w:w="72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Every referenced physical state covers the full route interval</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Error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T03</w:t>
            </w:r>
          </w:p>
        </w:tc>
        <w:tc>
          <w:tcPr>
            <w:tcW w:type="dxa" w:w="72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Master and child route intervals match in this profile</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Error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C01</w:t>
            </w:r>
          </w:p>
        </w:tc>
        <w:tc>
          <w:tcPr>
            <w:tcW w:type="dxa" w:w="72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Chronology contains ordered, non-overlapping whole service states</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Error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P01</w:t>
            </w:r>
          </w:p>
        </w:tc>
        <w:tc>
          <w:tcPr>
            <w:tcW w:type="dxa" w:w="72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Geometry and historical claims have traceable evidence</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Error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U01</w:t>
            </w:r>
          </w:p>
        </w:tc>
        <w:tc>
          <w:tcPr>
            <w:tcW w:type="dxa" w:w="72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Coarse dates, incomplete stops or uncertain inference are disclosed</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Warning</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G03</w:t>
            </w:r>
          </w:p>
        </w:tc>
        <w:tc>
          <w:tcPr>
            <w:tcW w:type="dxa" w:w="72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Coincident tracks or near endpoints require temporal and physical review</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Warning</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P02</w:t>
            </w:r>
          </w:p>
        </w:tc>
        <w:tc>
          <w:tcPr>
            <w:tcW w:type="dxa" w:w="72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OSM-derived or unresolved licensing provenance blocks publication</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5" w:lineRule="auto"/>
            </w:pPr>
            <w:r>
              <w:rPr>
                <w:b w:val="0"/>
                <w:sz w:val="20"/>
              </w:rPr>
              <w:t>Publication blocker</w:t>
            </w:r>
          </w:p>
        </w:tc>
      </w:tr>
    </w:tbl>
    <w:p/>
    <w:p>
      <w:r>
        <w:t>An Error blocks strict export of the affected scope. A Warning requires disclosure and may coexist with a geometry-only export. A Publication blocker can coexist with a structurally valid working export, but prevents classifying it as ready for OHM contribution. Working saves always remain available; unresolved data must not be discarded to make a validator pass.</w:t>
      </w:r>
    </w:p>
    <w:p>
      <w:pPr>
        <w:pStyle w:val="Heading2"/>
      </w:pPr>
      <w:r>
        <w:t>Three export modes</w:t>
      </w:r>
    </w:p>
    <w:p>
      <w:r>
        <w:t>Working archive preserves the complete project graph, unresolved records, evidence links, IDs and schema version. Temporal OSM XML serializes all conforming historical states, nodes and ways with dates and chronology. Date snapshot selects one active master per service identity, active routes, and the complete referenced physical graph; it omits chronology from the ordinary transit view. Include retained source dates and a manifest stating the selected date and uncertainties.</w:t>
      </w:r>
    </w:p>
    <w:p>
      <w:r>
        <w:t>Filtering MUST precede geometry flattening. Do not union all historical members into one route. A snapshot retains member order and repeated occurrences, resolves all references, and does not create turns from mere graph adjacency. Negative IDs can represent new local elements; IDs are unique per element type. Uploaded OHM objects require a retained local-to-server ID crosswalk before later updates.</w:t>
      </w:r>
    </w:p>
    <w:p>
      <w:r>
        <w:t>A consumer acceptance fixture should import the snapshot in JOSM, inspect route order and connectivity, and verify boundary dates before and after changes. Future implementation must also test same-rail sharing, opposite directions, a loop, repeated way traversal, a diamond crossing, a physical property change, a gap in service, and an unknown-stop route. Passing XML syntax alone is insufficient.</w:t>
      </w:r>
    </w:p>
    <w:p>
      <w:pPr>
        <w:pStyle w:val="Heading1"/>
        <w:pageBreakBefore/>
      </w:pPr>
      <w:r>
        <w:t>9 Migration from the September 30 model</w:t>
      </w:r>
    </w:p>
    <w:p>
      <w:r>
        <w:t>The authoritative draft contains 1,578 nodes, 381 ways and 277 relations, with c=407 and base=cb278c36c1e2. Its matching OSM export has 216 routes and 61 chronologies. The baseline has 64 research records and 233 events; it is a source of schema and research, not a replacement for the edited geometry. [A–D]</w:t>
      </w:r>
    </w:p>
    <w:p>
      <w:pPr>
        <w:pStyle w:val="Heading2"/>
      </w:pPr>
      <w:r>
        <w:t>Observed gaps</w:t>
      </w:r>
    </w:p>
    <w:p>
      <w:r>
        <w:t>The saved export has no route masters or public_transport:version tags. Its dated routes describe research-line use and do not by themselves establish directional passenger services. All 216 use railway:traction, with values horse, cable or electric. Chronologies carry operator and network tags that need a historical scope review. Unknown stops remain a research gap, not a reason to invent locations.</w:t>
      </w:r>
    </w:p>
    <w:p>
      <w:r>
        <w:t>In index.html, tidyPeriods compares sorted way references plus operator, traction and ref. It can overlook travel order, member roles, termini and other changing tags. linePeriods and related operations coerce dates with unary +, which supports years but produces invalid numeric values for full date strings. setLineUse can create routes from arbitrary way sets and copy an early operator into a later gap. These operations require redesign before claiming this specification is implemented.</w:t>
      </w:r>
    </w:p>
    <w:p>
      <w:pPr>
        <w:pStyle w:val="Heading2"/>
      </w:pPr>
      <w:r>
        <w:t>Migration sequence</w:t>
      </w:r>
    </w:p>
    <w:p>
      <w:pPr>
        <w:pStyle w:val="ListBullet"/>
      </w:pPr>
      <w:r>
        <w:t>Freeze checksums for the Sept. 30 draft, matching OSM XML, baseline, editor and workbook. Work on a copy and keep originals recoverable.</w:t>
      </w:r>
    </w:p>
    <w:p>
      <w:pPr>
        <w:pStyle w:val="ListBullet"/>
      </w:pPr>
      <w:r>
        <w:t>Add a versioned schema with stable service and variant identities, claim-level evidence, unresolved statuses and the research crosswalk. Retain element IDs where their meaning is unchanged.</w:t>
      </w:r>
    </w:p>
    <w:p>
      <w:pPr>
        <w:pStyle w:val="ListBullet"/>
      </w:pPr>
      <w:r>
        <w:t>Classify existing relations as verified service states, provisional corridor use or unresolved identity. Review L42/L43 and other parked questions without adopting audit findings automatically.</w:t>
      </w:r>
    </w:p>
    <w:p>
      <w:pPr>
        <w:pStyle w:val="ListBullet"/>
      </w:pPr>
      <w:r>
        <w:t>Select one well-sourced service and recover its actual directions, termini, variants and dates. Preserve shared ways. Construct synchronized route masters and a service chronology.</w:t>
      </w:r>
    </w:p>
    <w:p>
      <w:pPr>
        <w:pStyle w:val="ListBullet"/>
      </w:pPr>
      <w:r>
        <w:t>Implement date parsing, ordered equality, atomic splitting, dependency propagation and the three export modes. Keep migration fixtures tied to this pilot.</w:t>
      </w:r>
    </w:p>
    <w:p>
      <w:pPr>
        <w:pStyle w:val="ListBullet"/>
      </w:pPr>
      <w:r>
        <w:t>Compare pre- and post-migration geometry and references. Record every intentional change. Verify snapshot behavior at every event boundary in the pilot.</w:t>
      </w:r>
    </w:p>
    <w:p>
      <w:pPr>
        <w:pStyle w:val="ListBullet"/>
      </w:pPr>
      <w:r>
        <w:t>Expand service reconstruction incrementally. Retrace geometry against appropriate historical sources and resolve provenance before publication.</w:t>
      </w:r>
    </w:p>
    <w:p>
      <w:r>
        <w:t>Do not mechanically double the 216 existing relations to create directions, add a master around every research record, or add PTv2 version tags to unreviewed networks. Do not remove geometry for L47, L50 or L52 simply to enforce one chronology per record; their research status and any later service mapping require separate decisions.</w:t>
      </w:r>
    </w:p>
    <w:p>
      <w:r>
        <w:t>Retain cb278c36c1e2 for the legacy editor. A new schema or baseline needs an explicit migration and compatibility identifier, with an exported rollback snapshot. The browser draft must never be silently replaced by a newly embedded baseline.</w:t>
      </w:r>
    </w:p>
    <w:p>
      <w:pPr>
        <w:pStyle w:val="Heading1"/>
        <w:pageBreakBefore/>
      </w:pPr>
      <w:r>
        <w:t>10 Sources and remaining decisions</w:t>
      </w:r>
    </w:p>
    <w:p>
      <w:pPr>
        <w:pStyle w:val="Heading2"/>
      </w:pPr>
      <w:r>
        <w:t>External convention references</w:t>
      </w:r>
    </w:p>
    <w:p>
      <w:r>
        <w:t>These primary documentation pages were checked on 2 October 2026. They establish the underlying conventions; synchronized master intervals, strict export profiles, project traction keys and editor algorithms are the project’s proposed rules.</w:t>
      </w:r>
    </w:p>
    <w:p>
      <w:pPr>
        <w:spacing w:after="80"/>
      </w:pPr>
      <w:r>
        <w:t>[1] OSM Public transport</w:t>
        <w:br/>
      </w:r>
      <w:r>
        <w:rPr>
          <w:sz w:val="18"/>
        </w:rPr>
        <w:t>https://wiki.openstreetmap.org/wiki/Public_transport</w:t>
      </w:r>
    </w:p>
    <w:p>
      <w:pPr>
        <w:spacing w:after="80"/>
      </w:pPr>
      <w:r>
        <w:t>[2] OSM Route master</w:t>
        <w:br/>
      </w:r>
      <w:r>
        <w:rPr>
          <w:sz w:val="18"/>
        </w:rPr>
        <w:t>https://wiki.openstreetmap.org/wiki/Relation:route_master</w:t>
      </w:r>
    </w:p>
    <w:p>
      <w:pPr>
        <w:spacing w:after="80"/>
      </w:pPr>
      <w:r>
        <w:t>[3] OHM Chronology relation</w:t>
        <w:br/>
      </w:r>
      <w:r>
        <w:rPr>
          <w:sz w:val="18"/>
        </w:rPr>
        <w:t>https://wiki.openstreetmap.org/wiki/OpenHistoricalMap/Tags/Relation/chronology</w:t>
      </w:r>
    </w:p>
    <w:p>
      <w:pPr>
        <w:spacing w:after="80"/>
      </w:pPr>
      <w:r>
        <w:t>[4] OSM Railway crossing</w:t>
        <w:br/>
      </w:r>
      <w:r>
        <w:rPr>
          <w:sz w:val="18"/>
        </w:rPr>
        <w:t>https://wiki.openstreetmap.org/wiki/Tag:railway=railway_crossing</w:t>
      </w:r>
    </w:p>
    <w:p>
      <w:pPr>
        <w:spacing w:after="80"/>
      </w:pPr>
      <w:r>
        <w:t>[5] OSM Electrified</w:t>
        <w:br/>
      </w:r>
      <w:r>
        <w:rPr>
          <w:sz w:val="18"/>
        </w:rPr>
        <w:t>https://wiki.openstreetmap.org/wiki/Key:electrified</w:t>
      </w:r>
    </w:p>
    <w:p>
      <w:pPr>
        <w:spacing w:after="80"/>
      </w:pPr>
      <w:r>
        <w:t>[6] OSM Tram route</w:t>
        <w:br/>
      </w:r>
      <w:r>
        <w:rPr>
          <w:sz w:val="18"/>
        </w:rPr>
        <w:t>https://wiki.openstreetmap.org/wiki/Tag:route=tram</w:t>
      </w:r>
    </w:p>
    <w:p>
      <w:pPr>
        <w:spacing w:after="80"/>
      </w:pPr>
      <w:r>
        <w:t>[7] OHM Start date</w:t>
        <w:br/>
      </w:r>
      <w:r>
        <w:rPr>
          <w:sz w:val="18"/>
        </w:rPr>
        <w:t>https://wiki.openstreetmap.org/wiki/OpenHistoricalMap/Tags/Key/start_date</w:t>
      </w:r>
    </w:p>
    <w:p>
      <w:pPr>
        <w:spacing w:after="80"/>
      </w:pPr>
      <w:r>
        <w:t>[8] OHM End date</w:t>
        <w:br/>
      </w:r>
      <w:r>
        <w:rPr>
          <w:sz w:val="18"/>
        </w:rPr>
        <w:t>https://wiki.openstreetmap.org/wiki/OpenHistoricalMap/Tags/Key/end_date</w:t>
      </w:r>
    </w:p>
    <w:p>
      <w:pPr>
        <w:spacing w:after="80"/>
      </w:pPr>
      <w:r>
        <w:t>[9] OHM EDTF start dates</w:t>
        <w:br/>
      </w:r>
      <w:r>
        <w:rPr>
          <w:sz w:val="18"/>
        </w:rPr>
        <w:t>https://wiki.openstreetmap.org/wiki/OpenHistoricalMap/Tags/Key/start_date:edtf</w:t>
      </w:r>
    </w:p>
    <w:p>
      <w:pPr>
        <w:spacing w:after="80"/>
      </w:pPr>
      <w:r>
        <w:t>[10] OHM Copyright</w:t>
        <w:br/>
      </w:r>
      <w:r>
        <w:rPr>
          <w:sz w:val="18"/>
        </w:rPr>
        <w:t>https://wiki.openstreetmap.org/wiki/OpenHistoricalMap/Copyright</w:t>
      </w:r>
    </w:p>
    <w:p>
      <w:pPr>
        <w:pStyle w:val="Heading2"/>
      </w:pPr>
      <w:r>
        <w:t>Project source references</w:t>
      </w:r>
    </w:p>
    <w:p>
      <w:r>
        <w:t>[A] HANDOFF.md dated 30 September 2026. [B] exports/dcsc-draft-20260930.json and exports/dc_streetcars_edits_20260930.osm, inspected directly. [C] data/d-lines.json and embedded editor model. [D] index.html, especially linePeriods, splitPeriodAt, tidyPeriods and setLineUse. [E] DC_Streetcar_Lines_1862-1962.xlsx, including Lines, Chronology, Route Numbers, Track Ways and Sources. The workbook contains evidence and unresolved conflicts; this specification does not adjudicate them.</w:t>
      </w:r>
    </w:p>
    <w:p>
      <w:pPr>
        <w:pStyle w:val="Heading2"/>
      </w:pPr>
      <w:r>
        <w:t>Decisions kept open</w:t>
      </w:r>
    </w:p>
    <w:p>
      <w:r>
        <w:t>Historical identity remains unresolved for L42/L43 and L55; L19 naming, L48 commencement, L45 early power and L03/L04 attribution remain parked. Service reconstruction must distinguish numbered passenger services from physical corridors and DC through-operation from the lifetime of regional railways.</w:t>
      </w:r>
    </w:p>
    <w:p>
      <w:r>
        <w:t>Before OHM publication, review the proposed traction and conduit namespaces, each source’s permissions and attribution requirements, the treatment of generalized corridor geometry, and temporal railway-node semantics. The first implementation task is a single evidenced service pilot with before-and-after snapshots; the specification is not a bulk conversion authorization.</w:t>
      </w:r>
    </w:p>
    <w:sectPr w:rsidR="00FC693F" w:rsidRPr="0006063C" w:rsidSect="00034616">
      <w:footerReference w:type="default" r:id="rId9"/>
      <w:pgSz w:w="12240" w:h="15840"/>
      <w:pgMar w:top="936"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DC Streetcars Specification 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