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40"/>
        </w:rPr>
        <w:t>GENERAZIONE AUTOMATICA E CERTIFICATA DI DOCUMENTAZIONE SOFTWARE PER CODEBASE C/C++</w:t>
      </w:r>
    </w:p>
    <w:p>
      <w:pPr>
        <w:spacing w:before="0" w:after="280"/>
      </w:pPr>
      <w:r>
        <w:rPr>
          <w:rFonts w:ascii="Calibri" w:hAnsi="Calibri"/>
          <w:i/>
          <w:color w:val="555555"/>
          <w:sz w:val="26"/>
        </w:rPr>
        <w:t>Orchestrazione Multi-Agente, Analisi Statica AST, Validazione Neurale e Round-Trip Differential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6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CE5"/>
              <w:bottom w:val="single" w:sz="4" w:space="0" w:color="D0DCE5"/>
              <w:left w:val="single" w:sz="4" w:space="0" w:color="D0DCE5"/>
              <w:right w:val="single" w:sz="4" w:space="0" w:color="D0DCE5"/>
            </w:tcBorders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Candidato:</w:t>
            </w:r>
            <w:r>
              <w:rPr>
                <w:color w:val="333333"/>
                <w:sz w:val="20"/>
              </w:rPr>
              <w:t xml:space="preserve"> Nicola Flego</w:t>
            </w:r>
          </w:p>
        </w:tc>
        <w:tc>
          <w:tcPr>
            <w:tcW w:type="dxa" w:w="4680"/>
            <w:shd w:fill="F2F6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CE5"/>
              <w:bottom w:val="single" w:sz="4" w:space="0" w:color="D0DCE5"/>
              <w:left w:val="single" w:sz="4" w:space="0" w:color="D0DCE5"/>
              <w:right w:val="single" w:sz="4" w:space="0" w:color="D0DCE5"/>
            </w:tcBorders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Data:</w:t>
            </w:r>
            <w:r>
              <w:rPr>
                <w:color w:val="333333"/>
                <w:sz w:val="20"/>
              </w:rPr>
              <w:t xml:space="preserve"> Settembre 2026</w:t>
            </w:r>
          </w:p>
        </w:tc>
      </w:tr>
      <w:tr>
        <w:tc>
          <w:tcPr>
            <w:tcW w:type="dxa" w:w="4680"/>
            <w:shd w:fill="F2F6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CE5"/>
              <w:bottom w:val="single" w:sz="4" w:space="0" w:color="D0DCE5"/>
              <w:left w:val="single" w:sz="4" w:space="0" w:color="D0DCE5"/>
              <w:right w:val="single" w:sz="4" w:space="0" w:color="D0DCE5"/>
            </w:tcBorders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Progetto:</w:t>
            </w:r>
            <w:r>
              <w:rPr>
                <w:color w:val="333333"/>
                <w:sz w:val="20"/>
              </w:rPr>
              <w:t xml:space="preserve"> Tesi di Laurea Magistrale</w:t>
            </w:r>
          </w:p>
        </w:tc>
        <w:tc>
          <w:tcPr>
            <w:tcW w:type="dxa" w:w="4680"/>
            <w:shd w:fill="F2F6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CE5"/>
              <w:bottom w:val="single" w:sz="4" w:space="0" w:color="D0DCE5"/>
              <w:left w:val="single" w:sz="4" w:space="0" w:color="D0DCE5"/>
              <w:right w:val="single" w:sz="4" w:space="0" w:color="D0DCE5"/>
            </w:tcBorders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Contesto:</w:t>
            </w:r>
            <w:r>
              <w:rPr>
                <w:color w:val="333333"/>
                <w:sz w:val="20"/>
              </w:rPr>
              <w:t xml:space="preserve"> Ingegneria Informatica / AI &amp; Software Eng.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5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5691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5691"/>
                <w:sz w:val="20"/>
              </w:rPr>
              <w:t xml:space="preserve">[OBIETTIVO DEL DOCUMENTO] </w:t>
            </w:r>
            <w:r>
              <w:rPr>
                <w:rFonts w:ascii="Calibri" w:hAnsi="Calibri"/>
                <w:i/>
                <w:color w:val="222222"/>
                <w:sz w:val="20"/>
              </w:rPr>
              <w:t>Il presente documento fornisce una sintesi formale e organica del lavoro di ricerca svolto fino ad oggi. La trattazione è strutturata per facilitare il tracciamento accademico: i paper esaminati e i relativi concetti recepiti, l'articolazione formale delle metriche di valutazione introdotte a 4 livelli, le verifiche sperimentali e gli stress-test condotti (inclusa la dimostrazione della 'cecità logica' dei modelli neurali), i risultati del benchmark consolidato su 15 funzioni reali, e infine il piano dettagliato di cosa è stato fatto, cosa manca e come proseguire.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/>
          <w:color w:val="003366"/>
        </w:rPr>
        <w:t>1. Quadro Concettuale e Rassegna Sistematica della Letteratura</w:t>
      </w:r>
    </w:p>
    <w:p>
      <w:pPr>
        <w:spacing w:line="276" w:lineRule="auto" w:after="160"/>
      </w:pPr>
      <w:r>
        <w:t>L'attività di ricerca preliminare ha comportato l'analisi sistematica di 47 articoli scientifici (presenti nell'archivio di progetto Paper/) e delle relative note metodologiche. I contributi sono stati organizzati in 5 filoni cardine, da ciascuno dei quali sono stati estratti principi architetturali specifici poi integrati nella pipeline di tesi.</w:t>
      </w:r>
    </w:p>
    <w:p>
      <w:pPr>
        <w:pStyle w:val="Heading2"/>
      </w:pPr>
      <w:r>
        <w:t>1.1 Sintesi Sinottica dei Paper Fondamentali e Concetti 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Paper / Riferimento</w:t>
            </w:r>
          </w:p>
        </w:tc>
        <w:tc>
          <w:tcPr>
            <w:tcW w:type="dxa" w:w="1872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Anno / Provenienza</w:t>
            </w:r>
          </w:p>
        </w:tc>
        <w:tc>
          <w:tcPr>
            <w:tcW w:type="dxa" w:w="4896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Contributo Fondamentale Tratto nel Progetto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DocAgent: A Multi-Agent System for Automated Code Doc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(Apple, Meta, DeepMind)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Separazione funzionale dei ruoli tra agenti (Reader, Searcher, Writer, Verifier). Definizione della triade qualitativa essenziale: Completeness, Helpfulness e Truthfulness.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CodeWiki: Autonomous Repository Documentation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(arXiv)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Delega gerarchica ricorsiva (Repository Manager -&gt; Module Agents -&gt; Function Leaf). Sintesi bottom-up e generazione coordinata di pagine modulo, diagrammi Mermaid e README.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RepoAgent: An LLM-Based Open-Source Documentation System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(ACM / IEEE)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Paradigma di 'Continuous Documentation'. Architettura ChangeDetector con hook Git pre-commit e CI/CD per aggiornamenti incrementali mirati sui soli nodi AST modificati.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RepoSummary: Feature-Oriented Summarization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2025 (Zhu et al., PKU)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Riconoscimento delle feature architetturali tramite clustering semantico ed analisi del flusso di dati, superando la visualizzazione a singoli file isolati.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PROCONSUL: Project Context for Code Summarization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(Lomshakov et al.)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Iniezione rigorosa del grafo di dipendenza (firme e contratti delle funzioni chiamate 'callees'). Dimostra che la conoscenza delle callees abbatte drasticamente le allucinazioni.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GraphCodeBERT &amp; CodeBERT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2020-2021 (Microsoft Research)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Modellazione pre-addestrata su AST e Data Flow. Utilizzo operativo di microsoft/codebert-base come metrica densa di allineamento sintattico e semantico (CodeBERTScore).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CodePlan: Repository-Level Coding using LLMs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2023 (Microsoft Research)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Pianificazione ad albero su grafi orientati interdipendenti e gestione ordinata delle modifiche a cascata.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Program Slicing &amp; Method-Extraction Refactoring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1984 (Weiser) / 2023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Segmentazione atomica dei blocchi di codice, analisi delle variabili dipendenti e isolamento di porzioni di codice orfano/dead-code (funzioni a in-degree = 0).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Together We Go Further: LLMs and IDE Static Analysis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(ICSE / FSE)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Integrazione sinergica tra LLM (flessibilità semantica) e compilatori deterministici (Clang AST), dove l'analizzatore statico impone vincoli formali insormontabili.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G-EVAL: NLG Evaluation using GPT-4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2023 (Liu et al.)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Campionamento Monte Carlo a più iterazioni con temperatura controllata per stabilizzare la varianza intrinseca delle valutazioni espresse da LLM.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JudgeLM: Fine-Tuned LLMs as Scalable Judges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2023 (Zhu et al.)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Definizione di rubriche di valutazione analitiche con catalogazione tassonomica rigorosa dei difetti (DEF-1..DEF-5) ed eliminazione dei bias posizionali e di lunghezza.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AssetOpsBench: A Real-World Evaluation Benchmark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2024 (Industry Benchmark)</w:t>
            </w:r>
          </w:p>
        </w:tc>
        <w:tc>
          <w:tcPr>
            <w:tcW w:type="dxa" w:w="489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Criteri di validazione su codebase industriali aperte eterogenee per stile e complessità (cJSON, OpenCV, TinyXML-2, sds, miniz, http-parser).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color w:val="003366"/>
        </w:rPr>
        <w:t>2. Tassonomia Dettagliata delle Metriche Implementate</w:t>
      </w:r>
    </w:p>
    <w:p>
      <w:pPr>
        <w:spacing w:line="276" w:lineRule="auto" w:after="120"/>
      </w:pPr>
      <w:r>
        <w:t>Al fine di superare i limiti storici della valutazione euristica della documentazione, il progetto ha introdotto un framework metrologico multi-livello articolato su 4 assi ortogonali e complementari: dal vincolo formale del compilatore fino all'esecuzione dinamica del codice rigenerato.</w:t>
      </w:r>
    </w:p>
    <w:p>
      <w:pPr>
        <w:pStyle w:val="Heading2"/>
      </w:pPr>
      <w:r>
        <w:t>Livello 1: Verifiche Formali e Contratti Sintattici AST (libclang)</w:t>
      </w:r>
    </w:p>
    <w:p>
      <w:pPr>
        <w:spacing w:line="276" w:lineRule="auto"/>
      </w:pPr>
      <w:r>
        <w:t>Garantisce che la documentazione rispetti la realtà fisica del codice sorgente compilato. Se una docstring viola la firma o dichiara tipi/parametri inesistenti, viene rigettata all'origine dal Verifier.</w:t>
      </w:r>
    </w:p>
    <w:p>
      <w:r>
        <w:t>• Verifier Pass Rate (%): Tasso percentuale di funzioni documentate la cui docstring supera tutti i controlli sintattici e semantici formali definiti in src/verifier.py.</w:t>
        <w:br/>
        <w:t>• Parameter Slot-Filling (Precision, Recall, F1-Score): Confronto insiemistico tra i parametri formali estratti dall'AST (P_AST) e i tag @param documentati (P_Doc):</w:t>
        <w:br/>
        <w:t xml:space="preserve">      Precision = |P_AST ∩ P_Doc| / |P_Doc|</w:t>
        <w:br/>
        <w:t xml:space="preserve">      Recall = |P_AST ∩ P_Doc| / |P_AST|</w:t>
        <w:br/>
        <w:t xml:space="preserve">      F1 = 2 * (Precision * Recall) / (Precision + Recall)</w:t>
        <w:br/>
        <w:t>• Return Contract Match: Indicatore binario/probabilistico che certifica la congruenza del tipo di ritorno: se la funzione è 'void', la docstring non deve dichiarare ritorni; se restituisce un tipo concreto, la presenza di @return è obbligatoria.</w:t>
        <w:br/>
        <w:t>• Deterministic Complexity Enforcement: Calcolo deterministico della complessità asintotica temporale e spaziale Big-O mediante ispezione della profondità dei cicli (for/while/do), delle chiamate ricorsive e dell'uso di memoria heap/stack. Il tag @complexity viene iniettato direttamente dall'analizzatore.</w:t>
      </w:r>
    </w:p>
    <w:p>
      <w:pPr>
        <w:pStyle w:val="Heading2"/>
      </w:pPr>
      <w:r>
        <w:t>Livello 2: Qualità Ingegneristica, Completezza ed Actionability</w:t>
      </w:r>
    </w:p>
    <w:p>
      <w:r>
        <w:t>Valuta se la documentazione fornisce indicazioni pragmatiche e prescrittive per lo sviluppatore che deve utilizzare o manutenere l'API.</w:t>
      </w:r>
    </w:p>
    <w:p>
      <w:r>
        <w:t>• Hallucination Rate Globale (%) ed Existence Ratio: Misura la percentuale di identificatori, tipi, macro o simboli menzionati nella documentazione che non hanno alcuna corrispondenza né nel Grafo delle Dipendenze del progetto né nella standard library C/C++ (soglia minima di conformità: Existence Ratio &gt;= 0.80).</w:t>
        <w:br/>
        <w:t>• Actionability Score (AS) [0.0 - 1.0]: Indice pesato composto da 4 dimensioni operative:</w:t>
        <w:br/>
        <w:t xml:space="preserve">      AS = 0.35 * S_directionality + 0.20 * S_brief + 0.25 * S_return + 0.20 * S_memory_safety</w:t>
        <w:br/>
        <w:t xml:space="preserve">   dove S_directionality premia l'uso esplicito di [in], [out], [in,out]; S_memory_safety certifica clausole di ownership, divieti di free, allocazione e tag @pre/@warning.</w:t>
        <w:br/>
        <w:t>• Error Documentation Rate (EDR) [0% - 100%]: Rapporto tra i rami di errore presenti nell'AST del sorgente (control flow di uscita anomala, codici di errore, nullptr) e quelli esplicitamente documentati.</w:t>
        <w:br/>
        <w:t>• Edge Case Coverage (ECC) [0% - 100%]: Percentuale di guardie fisiche (null_guard, zero_negative_guard, boundary_check) tracciate nei prerequisiti e nei casi limite della documentazione.</w:t>
      </w:r>
    </w:p>
    <w:p>
      <w:pPr>
        <w:pStyle w:val="Heading2"/>
      </w:pPr>
      <w:r>
        <w:t>Livello 3: Valutazione Semantica Neurale ed LLM-as-a-Judge</w:t>
      </w:r>
    </w:p>
    <w:p>
      <w:r>
        <w:t>Quantifica la vicinanza semantica della documentazione generata rispetto alla docstring di riferimento umana o standard, integrando un valutatore neurale avanzato basato su prompt critici.</w:t>
      </w:r>
    </w:p>
    <w:p>
      <w:r>
        <w:t>• Sentence-BERT (SBERT) Cosine Similarity: Similarità coseno tra gli embedding densi generati dal modello 'all-MiniLM-L6-v2' (spazio vettoriale R^384) applicata al brief generato rispetto al riferimento umano.</w:t>
        <w:br/>
        <w:t>• BERTScore &amp; CodeBERTScore (P, R, F1): Allineamento token-to-token calcolato tramite Greedy Matching con pesi IDF su 'bert-base-uncased' e su 'microsoft/codebert-base'.</w:t>
        <w:br/>
        <w:t>• METEOR Score: Metrica basata su allineamenti lessicali esatti, stemming (Porter) e sinonimia WordNet con penalizzazione per frammentazione dei chunk di testo.</w:t>
        <w:br/>
        <w:t>• LLM-as-a-Judge (Monte Carlo Sampling): Valutazione a 5 iterazioni con temperatura controllata (T = 0.4) su due assi ortogonali:</w:t>
        <w:br/>
        <w:t xml:space="preserve">      - Faithfulness [1-5]: fedeltà assoluta al codice senza invenzioni (catalogazione difetti DEF-1..5).</w:t>
        <w:br/>
        <w:t xml:space="preserve">      - Alignment [1-5]: rispondenza all'intento architetturale e chiarezza espositiva.</w:t>
        <w:br/>
        <w:t xml:space="preserve">   Include la 'Rigenerazione Guidata': se lo score medio è inferiore a 4, la motivazione del Judge viene iniettata nel Writer Agent per una riscrittura correttiva automatica.</w:t>
      </w:r>
    </w:p>
    <w:p>
      <w:pPr>
        <w:pStyle w:val="Heading2"/>
      </w:pPr>
      <w:r>
        <w:t>Livello 4: Downstream Utility e Round-Trip Differential Testing</w:t>
      </w:r>
    </w:p>
    <w:p>
      <w:r>
        <w:t>Rappresenta il test definitivo di utilità: la documentazione è sufficientemente precisa e autosufficiente da permettere a un programmatore (o a un modello) di utilizzare o re-implementare la funzione?</w:t>
      </w:r>
    </w:p>
    <w:p>
      <w:r>
        <w:t>• Downstream Code Retrieval (MRR, Hit@1, Hit@5): Utilizza la documentazione generata come query in linguaggio naturale per recuperare la funzione corrispondente tra tutte le funzioni della libreria. Misura Mean Reciprocal Rank e tassi di successo.</w:t>
        <w:br/>
        <w:t>• Round-Trip Dual Differential Testing: Paradigma sperimentale esclusivo della tesi:</w:t>
        <w:br/>
        <w:t xml:space="preserve">   1. Un LLM Coder riceve unicamente la documentazione generata (docstring + scaffold di contesto) senza MAI vedere il codice C/C++ originale, e sintetizza una funzione Python equivalente (f_doc).</w:t>
        <w:br/>
        <w:t xml:space="preserve">   2. Una seconda funzione (f_ref) viene generata tramite traspilazione diretta del codice C/C++ originale.</w:t>
        <w:br/>
        <w:t xml:space="preserve">   3. Un generatore automatico produce una suite di test Pytest con casi limite e fuzzing intensivo con la libreria Hypothesis (@given, &gt;50 input casuali).</w:t>
        <w:br/>
        <w:t xml:space="preserve">   4. Esecuzione differenziale speculare:</w:t>
        <w:br/>
        <w:t xml:space="preserve">      - Self-Consistency Pass Rate (%): percentuale di test superati da f_doc (misura la coerenza interna della docstring).</w:t>
        <w:br/>
        <w:t xml:space="preserve">      - Dual Agreement Rate (%): concordanza stretta f_doc(x) == f_ref(x) su tutti i vettori di input.</w:t>
        <w:br/>
        <w:t>• Tassonomia a 3 Categorie del Round-Trip:</w:t>
        <w:br/>
        <w:t xml:space="preserve">   - Categoria 1 (Stateless / Primitive): funzioni matematiche/scalari; concordanza 80%-100%.</w:t>
        <w:br/>
        <w:t xml:space="preserve">   - Categoria 2 (Pointer / Buffer-Driven): gestione di puntatori grezzi e offset; modellate con contenitori mutabili.</w:t>
        <w:br/>
        <w:t xml:space="preserve">   - Categoria 3 (Stateful / Object-Graph): metodi di classe incapsulati (TinyXML-2) o grafi ricorsivi (cJSON). Dimostra sperimentalmente il principio di Information Hiding: f_doc supera il 100% dei test sul contratto pubblico pur divergendo legittimamente dai dettagli privati di f_ref.</w:t>
      </w:r>
    </w:p>
    <w:p>
      <w:pPr>
        <w:spacing w:after="160"/>
      </w:pPr>
    </w:p>
    <w:p>
      <w:pPr>
        <w:pStyle w:val="Heading1"/>
      </w:pPr>
      <w:r>
        <w:rPr>
          <w:rFonts w:ascii="Calibri" w:hAnsi="Calibri"/>
          <w:color w:val="003366"/>
        </w:rPr>
        <w:t>3. Verifiche alle Metriche, Prove di Robustezza e Scoperte Empiriche</w:t>
      </w:r>
    </w:p>
    <w:p>
      <w:pPr>
        <w:spacing w:line="276" w:lineRule="auto" w:after="120"/>
      </w:pPr>
      <w:r>
        <w:t>Per convalidare scientificamente il framework prima della sua applicazione su larga scala, sono state condotte specifiche campagne di validazione empirica e stress-test (implementate negli script di verifica in utils/). I risultati hanno portato a scoperte di fondamentale importanza metodologica per la tesi.</w:t>
      </w:r>
    </w:p>
    <w:p>
      <w:pPr>
        <w:pStyle w:val="Heading2"/>
      </w:pPr>
      <w:r>
        <w:t>3.1 Validazione della Pipeline (Pytest Unit &amp; Integration)</w:t>
      </w:r>
    </w:p>
    <w:p>
      <w:pPr>
        <w:spacing w:line="276" w:lineRule="auto"/>
      </w:pPr>
      <w:r>
        <w:t>• test_extraction.py: Collaudo deterministico del parser libclang AST. Ha verificato l'estrazione senza perdita di struct complesse, enum anonimi, puntatori a funzione, macro precompilatore e la corretta costruzione del grafo caller-callee. Risultato: 100% test superati.</w:t>
        <w:br/>
        <w:t>• test_judge_agent.py: Validazione del flusso multi-agente e dell'agente Judge. È stato verificato il meccanismo di retry condizionale: al rilevamento di un punteggio insufficiente, il Judge rigenera la docstring incorporando la critica strutturata. Risultato: 100% test superati.</w:t>
      </w:r>
    </w:p>
    <w:p>
      <w:pPr>
        <w:pStyle w:val="Heading2"/>
      </w:pPr>
      <w:r>
        <w:t>3.2 La Scoperta del 'Paradosso dell'Inversione Avversaria' (Cecità Logica)</w:t>
      </w:r>
    </w:p>
    <w:p>
      <w:pPr>
        <w:spacing w:line="276" w:lineRule="auto"/>
      </w:pPr>
      <w:r>
        <w:t>Nello studio di sensibilità (verify_metric_sensitivity.py), le metriche sono state confrontate su funzioni EQUIVALENT (stessa semantica ma sintassi diversa) e funzioni ADVERSARIAL (codice quasi identico ma con inversione di un operatore logico, es. '&lt;' sostituito con '&gt;').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Metrica Neurale / NLP</w:t>
            </w:r>
          </w:p>
        </w:tc>
        <w:tc>
          <w:tcPr>
            <w:tcW w:type="dxa" w:w="2016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 su EQUIVALENT</w:t>
            </w:r>
          </w:p>
        </w:tc>
        <w:tc>
          <w:tcPr>
            <w:tcW w:type="dxa" w:w="2016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 su ADVERSARIAL</w:t>
            </w:r>
          </w:p>
        </w:tc>
        <w:tc>
          <w:tcPr>
            <w:tcW w:type="dxa" w:w="2736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Delta (Adversarial - Equiv)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ROUGE-L (Lessicale)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0.552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0.855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+0.303 (Fallimento critico)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TF-IDF Cosine Sim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0.620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0.911</w:t>
            </w:r>
          </w:p>
        </w:tc>
        <w:tc>
          <w:tcPr>
            <w:tcW w:type="dxa" w:w="273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+0.291 (Fallimento critico)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Sentence-BERT (SBERT)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0.809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0.956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+0.147 (Fallimento neurale)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BERTScore F1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0.762</w:t>
            </w:r>
          </w:p>
        </w:tc>
        <w:tc>
          <w:tcPr>
            <w:tcW w:type="dxa" w:w="201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0.938</w:t>
            </w:r>
          </w:p>
        </w:tc>
        <w:tc>
          <w:tcPr>
            <w:tcW w:type="dxa" w:w="2736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+0.176 (Fallimento neurale)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CodeBERTScore F1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0.867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0.970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+0.103 (Fallimento neurale)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5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5691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5691"/>
                <w:sz w:val="20"/>
              </w:rPr>
              <w:t xml:space="preserve">[SCOPERTA CHIAVE DELLA TESI: LA CECITÀ LOGICA DELLE METRICHE NEURALI] </w:t>
            </w:r>
            <w:r>
              <w:rPr>
                <w:rFonts w:ascii="Calibri" w:hAnsi="Calibri"/>
                <w:i/>
                <w:color w:val="222222"/>
                <w:sz w:val="20"/>
              </w:rPr>
              <w:t>Tutte le metriche classiche di NLP e di embedding neurale presentano un Delta positivo: premiano un codice affetto da un bug catastrofico rispetto a una reimplementazione semanticamente corretta! La vicinanza lessicale maschera la rottura logica. Questa evidenza empirica dimostra l'assoluta necessità scientifica del Round-Trip Differential Testing: mentre CodeBERT assegna 0.970 al codice invertito, i test Pytest generati dal Round-Trip crollano a 0.0% di pass rate, identificando istantaneamente l'errore semantico.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3.3 Spiegazione dei Meccanismi Interni (XAI: Explainable AI)</w:t>
      </w:r>
    </w:p>
    <w:p>
      <w:pPr>
        <w:spacing w:line="276" w:lineRule="auto"/>
      </w:pPr>
      <w:r>
        <w:t>Tramite lo script explain_metric_internals.py sono stati analizzati i motivi matematici alla base di tale fallimento:</w:t>
        <w:br/>
        <w:t>1. Greedy Matching di BERTScore: BERTScore calcola la similarità a coppie di token scegliendo sempre il massimo. L'inserimento di un token di negazione ('not') o l'inversione di un operatore non penalizza l'allineamento dei restanti N-1 token identici: la Recall rimane al 100% e la Precision scende solo di un fattore trascurabile 1/N.</w:t>
        <w:br/>
        <w:t>2. Mean Pooling di SBERT: La media aritmetica dei vettori di stato nasconde il segnale semantico dei token leggeri. I token di negazione o di confronto incidono solo per il 5-8% sull'orientamento dello spazio euclideo, venendo completamente 'dilavati' dai sostantivi dominanti.</w:t>
        <w:br/>
        <w:t>3. Truncation Trap (Limite Fisico dei Token): Modelli come MiniLM (256 token) e BERT/CodeBERT (512 token) troncano rigidamente le sequenze oltre la soglia massima. Funzioni lunghe che condividono la medesima intestazione ma divergono nella coda ottengono una similarità del 100%, ignorando completamente il disallineamento successivo.</w:t>
      </w:r>
    </w:p>
    <w:p>
      <w:pPr>
        <w:pStyle w:val="Heading2"/>
      </w:pPr>
      <w:r>
        <w:t>3.4 Studio sulle Rappresentazioni Canoniche Intermedie (IR)</w:t>
      </w:r>
    </w:p>
    <w:p>
      <w:pPr>
        <w:spacing w:line="276" w:lineRule="auto"/>
      </w:pPr>
      <w:r>
        <w:t>È stata verificata la possibilità di convertire il codice in Pseudocodice Algoritmico e Flowchart Mermaid prima del confronto. I test in verify_canonical_representation.py confermano che l'IR azzera il rumore sintattico tra C e Python (SBERT sale da 0.59 a 0.84), ma non sana la cecità logica intrinseca, confermando che il test dinamico basato su asserzioni è l'unico arbitro certo.</w:t>
      </w:r>
    </w:p>
    <w:p>
      <w:pPr>
        <w:spacing w:after="160"/>
      </w:pPr>
    </w:p>
    <w:p>
      <w:pPr>
        <w:pStyle w:val="Heading1"/>
      </w:pPr>
      <w:r>
        <w:rPr>
          <w:rFonts w:ascii="Calibri" w:hAnsi="Calibri"/>
          <w:color w:val="003366"/>
        </w:rPr>
        <w:t>4. Risultati del Benchmark Reale di Produzione</w:t>
      </w:r>
    </w:p>
    <w:p>
      <w:pPr>
        <w:spacing w:line="276" w:lineRule="auto" w:after="120"/>
      </w:pPr>
      <w:r>
        <w:t>Il framework completo è stato testato su un benchmark consolidato di 15 funzioni eterogenee estratte casualmente da 6 importanti repository open source C/C++: cJSON, OpenCV, TinyXML-2, sds (Simple Dynamic Strings), miniz e http-parser.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Indicatore di Benchmark</w:t>
            </w:r>
          </w:p>
        </w:tc>
        <w:tc>
          <w:tcPr>
            <w:tcW w:type="dxa" w:w="1872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Punteggio Ottenuto</w:t>
            </w:r>
          </w:p>
        </w:tc>
        <w:tc>
          <w:tcPr>
            <w:tcW w:type="dxa" w:w="4320"/>
            <w:shd w:fill="005691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Interpretazione e Significato Scientifico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Funzioni Valide al Verifier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93.3% (14/15)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Conformità formale quasi totale rispetto ai vincoli dell'AST.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Hallucination Rate Globale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0.0%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Assoluta assenza di parametri, tipi o simboli inventati dal modello.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Parameter F1-Score (vs AST)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1.000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Corrispondenza biunivoca perfetta tra parametri documentati e reali.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Return Contract Match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0.9333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Riconoscimento rigoroso delle clausole di ritorno (void vs tipi concreti).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Actionability Score (AS)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0.8133 / 1.0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Documentazione ricca di direzionalità [in,out], brief e safety.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Error Documentation Rate (EDR)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100.0%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Piena copertura dei rami di errore e delle uscite anomale rilevate nel sorgente.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Edge Case Coverage (ECC)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91.1%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Intercettazione sistematica di guardie NULL e limiti di memoria.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LLM-Judge Faithfulness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4.24 / 5.0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Alta fedeltà verificata dal Giudice Monte Carlo a 5 iterazioni.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LLM-Judge Alignment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4.63 / 5.0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Piena comprensione dello scopo algoritmico e dell'architettura.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Judge Punteggio Combinato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4.43 / 5.0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Qualità globale di livello esperto secondo le rubriche DEF-1..5.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 Retrieval MRR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0.7861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Capacità discriminante della documentazione come motore di ricerca codice.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 Retrieval Hit@1 / Hit@5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66.7% / 93.3%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La funzione corretta è al 1° posto nel 66.7% dei casi, nella top 5 nel 93.3%.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Round-Trip Pass Rate (f_doc)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65.1%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Tasso di autosufficienza esecutiva del codice rigenerato solo da docstring.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Round-Trip Dual Agreement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41.3%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Concordanza speculare f_doc == f_ref (influenzata da Information Hiding).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Sentence-BERT Cosine Sim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0.5997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Elevata similarità rispetto alle docstring originali umane.</w:t>
            </w:r>
          </w:p>
        </w:tc>
      </w:tr>
      <w:tr>
        <w:tc>
          <w:tcPr>
            <w:tcW w:type="dxa" w:w="316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CodeBERTScore F1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0.7463</w:t>
            </w:r>
          </w:p>
        </w:tc>
        <w:tc>
          <w:tcPr>
            <w:tcW w:type="dxa" w:w="43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Elevata coerenza lessicale e sintattica specifica per codice software.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Concept Checklist Score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0.90 / 1.0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Preservazione quasi integrale dei concetti critici (memoria, lock, eccezioni).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Diagnostica dei Fallimenti nel Round-Trip:</w:t>
        <w:br/>
        <w:t>L'analisi automatizzata degli errori (roundtrip_error_report.md) ha isolato le cause del mancato passaggio dei test:</w:t>
        <w:br/>
        <w:t>• Behavioral / Contract Failure (40.0%): sottili discrepanze di contratto nei casi limite (es. restituzione di stringa vuota invece di None).</w:t>
        <w:br/>
        <w:t>• Interface / Signature Mismatch (30.0%): lievi disallineamenti nelle convenzioni posizionali degli argomenti.</w:t>
        <w:br/>
        <w:t>• Other Execution Error (16.7%): fallimenti determinati da asserzioni stringenti generate dal modulo Hypothesis.</w:t>
        <w:br/>
        <w:t>• Missing Symbol / Environment (13.3%): eccezioni di tipo NameError o AttributeError dovute a classi helper o costanti non iniettate nello scaffold di contesto.</w:t>
      </w:r>
    </w:p>
    <w:p>
      <w:pPr>
        <w:spacing w:after="160"/>
      </w:pPr>
    </w:p>
    <w:p>
      <w:pPr>
        <w:pStyle w:val="Heading1"/>
      </w:pPr>
      <w:r>
        <w:rPr>
          <w:rFonts w:ascii="Calibri" w:hAnsi="Calibri"/>
          <w:color w:val="003366"/>
        </w:rPr>
        <w:t>5. Stato di Avanzamento, Gap Rilevati e Roadmap dei Prossimi Passi</w:t>
      </w:r>
    </w:p>
    <w:p>
      <w:pPr>
        <w:spacing w:line="276" w:lineRule="auto" w:after="120"/>
      </w:pPr>
      <w:r>
        <w:t>In questa sezione viene formalizzato lo stato esatto del progetto, evidenziando chiaramente i traguardi già conseguiti, i punti aperti (estratti da TODO.md e RoadMap.md) e la pianificazione operativa concordata per le prossime fasi.</w:t>
      </w:r>
    </w:p>
    <w:p>
      <w:pPr>
        <w:pStyle w:val="Heading2"/>
      </w:pPr>
      <w:r>
        <w:t>5.1 Cosa è Stato Completato con Successo</w:t>
      </w:r>
    </w:p>
    <w:p>
      <w:r>
        <w:t>[COMPLETATO] 1. Motore di Estrazione AST C/C++: Parser basato su libclang con estrazione gerarchica di firme, struct, enum, macro, include, complessità deterministica Big-O e modelli di memoria.</w:t>
        <w:br/>
        <w:t>[COMPLETATO] 2. Modellazione del Grafo e Tarjan SCC: Costruzione del Call Graph orientato, risoluzione di cicli di ricorsione mutua e ordinamento topologico Bottom-Up (Dependencies-First).</w:t>
        <w:br/>
        <w:t>[COMPLETATO] 3. Pipeline Multi-Agente Strutturata: Agenti cooperativi specializzati (Reader, Searcher, Writer, Verifier, Judge) con gestione del retry critico condizionale.</w:t>
        <w:br/>
        <w:t>[COMPLETATO] 4. Framework Metrologico Integrato a 4 Livelli: Metriche formali AST, metriche di actionability/qualità, metriche neurali dense e framework di Round-Trip Differential Testing (Pytest + Hypothesis).</w:t>
        <w:br/>
        <w:t>[COMPLETATO] 5. Validazione Scientifica e Studio XAI: Dimostrazione del paradosso dell'inversione avversaria, analisi delle mappe di attenzione e spiegazione dei limiti di troncamento dei token.</w:t>
        <w:br/>
        <w:t>[COMPLETATO] 6. Sistema di Presentazione Multimodale: Esportazione di DOCUMENTATION.md standard Doxygen, portali web interattivi, grafi Cytoscape.js e dashboard diagnostiche ad alta risoluzione.</w:t>
      </w:r>
    </w:p>
    <w:p>
      <w:pPr>
        <w:pStyle w:val="Heading2"/>
      </w:pPr>
      <w:r>
        <w:t>5.2 Cosa Manca e Piano di Lavoro per i Prossimi Passi (Roadmap)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8B0000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Attività / Feature</w:t>
            </w:r>
          </w:p>
        </w:tc>
        <w:tc>
          <w:tcPr>
            <w:tcW w:type="dxa" w:w="1728"/>
            <w:shd w:fill="8B0000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Priorità</w:t>
            </w:r>
          </w:p>
        </w:tc>
        <w:tc>
          <w:tcPr>
            <w:tcW w:type="dxa" w:w="1728"/>
            <w:shd w:fill="8B0000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Origine</w:t>
            </w:r>
          </w:p>
        </w:tc>
        <w:tc>
          <w:tcPr>
            <w:tcW w:type="dxa" w:w="3312"/>
            <w:shd w:fill="8B0000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003366"/>
              <w:bottom w:val="single" w:sz="4" w:space="0" w:color="003366"/>
              <w:left w:val="single" w:sz="4" w:space="0" w:color="003366"/>
              <w:right w:val="single" w:sz="4" w:space="0" w:color="0033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Obiettivo Operativo e Metodologico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Profiling Temporale e Latenza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Alta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TODO.md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Misurazione empirica e comparazione dei tempi di esecuzione tra la pipeline standard (single) e quella multi-agente (multiagent), suddivisa per fase.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Grafico Voto vs LOC / Complessità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Alta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TODO.md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Generazione di scatter plot e curve di correlazione tra punteggi (Judge, Round-Trip) e lunghezza/complessità ciclomomatica del codice.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Context Scaffold 2.0 (Arricchimento Contesto)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Alta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RoadMap.md / Error Report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Fornire all'LLM Coder un contesto più esteso sulle classi helper e le funzioni esterne per azzerare i NameError/AttributeError (13.3% dei fallimenti attuali).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Self-Refinement Loop (Doc-to-Code Feedback)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Media-Alta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RoadMap.md (Fase 3)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Ciclo ricorsivo in cui il Coder riceve il traceback dei test Pytest falliti e auto-corregge il codice generato per massimizzare il pass rate.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Generalizzazione Multilingua (Tree-Sitter)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Media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RoadMap.md (Fase 4)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Estensione del parser AST da C/C++ ad altri linguaggi industriali (Python, Java, Rust, Go) tramite la libreria universale Tree-Sitter.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CI/CD Pre-Commit Hook &amp; Drift Detection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Media</w:t>
            </w:r>
          </w:p>
        </w:tc>
        <w:tc>
          <w:tcPr>
            <w:tcW w:type="dxa" w:w="1728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RoadMap.md (Fase 5)</w:t>
            </w:r>
          </w:p>
        </w:tc>
        <w:tc>
          <w:tcPr>
            <w:tcW w:type="dxa" w:w="331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Integrazione del ChangeDetector con Git per bloccare pull request che introducono disallineamenti tra codice e documentazione.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B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5691"/>
                <w:sz w:val="20"/>
              </w:rPr>
              <w:t xml:space="preserve">[SINTESI CONCLUSIVA] </w:t>
            </w:r>
            <w:r>
              <w:rPr>
                <w:rFonts w:ascii="Calibri" w:hAnsi="Calibri"/>
                <w:i/>
                <w:color w:val="222222"/>
                <w:sz w:val="20"/>
              </w:rPr>
              <w:t>Il framework ha raggiunto uno stadio di maturità scientifica molto solido: la combinazione di analisi statica formale e Round-Trip Testing dinamico colma in modo dimostrabile le debolezze strutturali dei modelli neurali di NLP. Le prossime attività permetteranno di quantificare il trade-off costo/tempo dell'architettura multi-agente e di elevare ulteriormente il tasso di autosufficienza della sintesi del codice.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7"/>
      </w:rPr>
      <w:t>Stato dell'Arte, Tassonomia delle Metriche, Verifiche Sperimentali e Roadmap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Tesi Magistrale - Nicola Flego | Documentazione di Avanzamento Progetto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