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6 Технико-экономическое обоснование проекта</w:t>
      </w:r>
    </w:p>
    <w:p>
      <w:r>
        <w:rPr>
          <w:b/>
        </w:rPr>
        <w:t>6.1 Общая характеристика разрабатываемого программного средства</w:t>
      </w:r>
    </w:p>
    <w:p>
      <w:pPr>
        <w:jc w:val="both"/>
      </w:pPr>
      <w:r>
        <w:t>В выпускной квалификационной работе разработано веб-приложение «Guitar Notepad» для работы пользователей с гитарным материалом: создание и просмотр песен в табличном представлении, привязка аккордов и паттернов исполнения, формирование альбомов, загрузка и воспроизведение аудио, профиль пользователя и обмен сообщениями в рамках сервиса, отзывы и уведомления. Отдельную роль занимает платный доступ: пользователь может оформить премиум-статус и/или подписку на альбом другого пользователя для получения обновлений и расширенного доступа к контенту в соответствии с моделью, реализованной в приложении.</w:t>
      </w:r>
    </w:p>
    <w:p>
      <w:pPr>
        <w:jc w:val="both"/>
      </w:pPr>
      <w:r>
        <w:t>Приложение ориентировано на несколько типов аккаунтов: гость, авторизованный пользователь и администратор. Наиболее востребованной группой выступают пользователи, создающие и изучающие разборы песен для личной практики и организации альбомных подборок. Администратор поддерживает перечень учётных записей и параметры ограничений.</w:t>
      </w:r>
    </w:p>
    <w:p>
      <w:pPr>
        <w:jc w:val="both"/>
      </w:pPr>
      <w:r>
        <w:t>Ключевые функции для авторизованного пользователя включают просмотр и поиск аккордов и паттернов, составление и изменение собственной песни в редакторе, работу с ресурсами песни, просмотр чужих песен при открытой публикации, оформление подписки на альбом другого пользователя или приобретение премиум-доступа, управление уведомлениями и профилем, а также взаимодействие с системой ограничений на создание объектов без расширенного тарифа.</w:t>
      </w:r>
    </w:p>
    <w:p>
      <w:pPr>
        <w:jc w:val="both"/>
      </w:pPr>
      <w:r>
        <w:t>Архитектура приложения клиент-серверная: фронтенд реализован на Next.js 16 и React 19 на TypeScript и взаимодействует с REST API средствами HTTP-клиента; серверная часть выполнена на ASP.NET Core (платформа .NET и Entity Framework Core) с авторизацией по JWT и хранением данных в PostgreSQL. Допускается контейнеризованное развертывание с использованием Docker Compose.</w:t>
      </w:r>
    </w:p>
    <w:p>
      <w:pPr>
        <w:jc w:val="both"/>
      </w:pPr>
      <w:r>
        <w:t>Основной источник доходов в экономической модели выпускной работы — подписка: периодические платежи за премиум-функции и/или платные подписки на альбомы авторов. Дополнительно возможны «встроенные» платежи через подключённые сервисы (эквайринг и биллинг), комиссионные от провайдеров платежей и расходы на продвижение в социальных медиаплощадках (SMM) как смежные затраты вне калькуляций таблицы 6.6.</w:t>
      </w:r>
    </w:p>
    <w:p>
      <w:pPr>
        <w:pStyle w:val="Heading2"/>
      </w:pPr>
      <w:r>
        <w:t>6.2 Исходные данные для расчётов и маркетинговый анализ</w:t>
      </w:r>
    </w:p>
    <w:p>
      <w:r>
        <w:t>Исходными источниками для расчётов являются действующие нормативные правовые акты; свод входных параметров показателя приведён в таблице 6.1. Дополнительно для шкалы затрат маркетинга сохранены внешние калькуляторы стоимости разработки (рисунки 6.1–6.3 в финальной редакции выпускной пояснительной записки подлежат обновлению скриншотами пользователя).</w:t>
      </w:r>
    </w:p>
    <w:p>
      <w:r>
        <w:rPr>
          <w:b/>
        </w:rPr>
        <w:t>Таблица 6.1 – Исходные данные для расчёта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Наименование показателя</w:t>
            </w:r>
          </w:p>
        </w:tc>
        <w:tc>
          <w:tcPr>
            <w:tcW w:type="dxa" w:w="2880"/>
          </w:tcPr>
          <w:p>
            <w:r>
              <w:t>Условные обозначения</w:t>
            </w:r>
          </w:p>
        </w:tc>
        <w:tc>
          <w:tcPr>
            <w:tcW w:type="dxa" w:w="2880"/>
          </w:tcPr>
          <w:p>
            <w:r>
              <w:t>Норматив</w:t>
            </w:r>
          </w:p>
        </w:tc>
      </w:tr>
      <w:tr>
        <w:tc>
          <w:tcPr>
            <w:tcW w:type="dxa" w:w="2880"/>
          </w:tcPr>
          <w:p>
            <w:r>
              <w:t>Норматив дополнительной заработной платы, %</w:t>
            </w:r>
          </w:p>
        </w:tc>
        <w:tc>
          <w:tcPr>
            <w:tcW w:type="dxa" w:w="2880"/>
          </w:tcPr>
          <w:p>
            <w:r>
              <w:t>Ндз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Ставка отчислений в Фонд социальной защиты населения, %</w:t>
            </w:r>
          </w:p>
        </w:tc>
        <w:tc>
          <w:tcPr>
            <w:tcW w:type="dxa" w:w="2880"/>
          </w:tcPr>
          <w:p>
            <w:r>
              <w:t>Нфсзн</w:t>
            </w:r>
          </w:p>
        </w:tc>
        <w:tc>
          <w:tcPr>
            <w:tcW w:type="dxa" w:w="2880"/>
          </w:tcPr>
          <w:p>
            <w:r>
              <w:t>34</w:t>
            </w:r>
          </w:p>
        </w:tc>
      </w:tr>
      <w:tr>
        <w:tc>
          <w:tcPr>
            <w:tcW w:type="dxa" w:w="2880"/>
          </w:tcPr>
          <w:p>
            <w:r>
              <w:t>Ставка отчислений в БРУСП «Белгосстрах», %</w:t>
            </w:r>
          </w:p>
        </w:tc>
        <w:tc>
          <w:tcPr>
            <w:tcW w:type="dxa" w:w="2880"/>
          </w:tcPr>
          <w:p>
            <w:r>
              <w:t>Нбгс</w:t>
            </w:r>
          </w:p>
        </w:tc>
        <w:tc>
          <w:tcPr>
            <w:tcW w:type="dxa" w:w="2880"/>
          </w:tcPr>
          <w:p>
            <w:r>
              <w:t>0,6</w:t>
            </w:r>
          </w:p>
        </w:tc>
      </w:tr>
      <w:tr>
        <w:tc>
          <w:tcPr>
            <w:tcW w:type="dxa" w:w="2880"/>
          </w:tcPr>
          <w:p>
            <w:r>
              <w:t>Норматив прочих прямых затрат, %</w:t>
            </w:r>
          </w:p>
        </w:tc>
        <w:tc>
          <w:tcPr>
            <w:tcW w:type="dxa" w:w="2880"/>
          </w:tcPr>
          <w:p>
            <w:r>
              <w:t>Нпз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Норматив расходов на сопровождение и адаптацию, %</w:t>
            </w:r>
          </w:p>
        </w:tc>
        <w:tc>
          <w:tcPr>
            <w:tcW w:type="dxa" w:w="2880"/>
          </w:tcPr>
          <w:p>
            <w:r>
              <w:t>Нрса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Норматив накладных расходов, %</w:t>
            </w:r>
          </w:p>
        </w:tc>
        <w:tc>
          <w:tcPr>
            <w:tcW w:type="dxa" w:w="2880"/>
          </w:tcPr>
          <w:p>
            <w:r>
              <w:t>Нобп,опх</w:t>
            </w:r>
          </w:p>
        </w:tc>
        <w:tc>
          <w:tcPr>
            <w:tcW w:type="dxa" w:w="2880"/>
          </w:tcPr>
          <w:p>
            <w:r>
              <w:t>44</w:t>
            </w:r>
          </w:p>
        </w:tc>
      </w:tr>
    </w:tbl>
    <w:p/>
    <w:p>
      <w:r>
        <w:t>Для оценки уровня рыночных цен выполнялось сравнение стоимости разработки веб-сервиса по данным ресурсов-агрегаторов (таблица 6.2). Рисунки 6.1–6.3 в пояснительной записке целесообразно оставить калькуляторные выгрузки с указанных сайтов (при сохранении курсового перерасчёта в белорусских рублях на дату, принятую в работе).</w:t>
      </w:r>
    </w:p>
    <w:p>
      <w:r>
        <w:rPr>
          <w:b/>
        </w:rPr>
        <w:t>Таблица 6.2 – Результат маркетингового обзора калькуляторов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Источник</w:t>
            </w:r>
          </w:p>
        </w:tc>
        <w:tc>
          <w:tcPr>
            <w:tcW w:type="dxa" w:w="4320"/>
          </w:tcPr>
          <w:p>
            <w:r>
              <w:t>Стоимость в белорусских рублях (эксплуатационное приближение)</w:t>
            </w:r>
          </w:p>
        </w:tc>
      </w:tr>
      <w:tr>
        <w:tc>
          <w:tcPr>
            <w:tcW w:type="dxa" w:w="4320"/>
          </w:tcPr>
          <w:p>
            <w:r>
              <w:t>https://thebestapp.ru/calculator</w:t>
            </w:r>
          </w:p>
        </w:tc>
        <w:tc>
          <w:tcPr>
            <w:tcW w:type="dxa" w:w="4320"/>
          </w:tcPr>
          <w:p>
            <w:r>
              <w:t>49 761,70</w:t>
            </w:r>
          </w:p>
        </w:tc>
      </w:tr>
      <w:tr>
        <w:tc>
          <w:tcPr>
            <w:tcW w:type="dxa" w:w="4320"/>
          </w:tcPr>
          <w:p>
            <w:r>
              <w:t>https://wecode.ua/ru/kalkulyator-stoimosti-razrabotki-mobilnogo-prilozheniya/</w:t>
            </w:r>
          </w:p>
        </w:tc>
        <w:tc>
          <w:tcPr>
            <w:tcW w:type="dxa" w:w="4320"/>
          </w:tcPr>
          <w:p>
            <w:r>
              <w:t>28 242,37</w:t>
            </w:r>
          </w:p>
        </w:tc>
      </w:tr>
      <w:tr>
        <w:tc>
          <w:tcPr>
            <w:tcW w:type="dxa" w:w="4320"/>
          </w:tcPr>
          <w:p>
            <w:r>
              <w:t>https://elapp.ru/stoimost/onlayn-raschet-stoimosti</w:t>
            </w:r>
          </w:p>
        </w:tc>
        <w:tc>
          <w:tcPr>
            <w:tcW w:type="dxa" w:w="4320"/>
          </w:tcPr>
          <w:p>
            <w:r>
              <w:t>37 150,40</w:t>
            </w:r>
          </w:p>
        </w:tc>
      </w:tr>
    </w:tbl>
    <w:p/>
    <w:p>
      <w:r>
        <w:t>Среднее по трём оценочным строкам условная стоимость разработки аналога составляет порядка 38 385 руб.; отклонение при этом отражает различную номенклатуру параметров калькуляторов и необходимо трактовать как ориентир, не как договорную цену.</w:t>
      </w:r>
    </w:p>
    <w:p>
      <w:pPr>
        <w:pStyle w:val="Heading2"/>
      </w:pPr>
      <w:r>
        <w:t>6.3 Обоснование цены программного средства</w:t>
      </w:r>
    </w:p>
    <w:p>
      <w:pPr>
        <w:pStyle w:val="Heading3"/>
      </w:pPr>
      <w:r>
        <w:t>6.3.1 Расчёт затрат рабочего времени</w:t>
      </w:r>
    </w:p>
    <w:p>
      <w:r>
        <w:t>В таблице 6.3 приведены агрегированные выполненные виды работ и трудозатраты человеко-часовых на разработку программного средства в организации-исполнителе. Номенклатура работ адаптирована под задачи «Guitar Notepad»:постановка и консолидация требований, интерфейс, серверное API под подписки и медиафайлы, клиентские сценарии.</w:t>
      </w:r>
    </w:p>
    <w:p>
      <w:r>
        <w:rPr>
          <w:b/>
        </w:rPr>
        <w:t>Таблица 6.3 – Затраты рабочего времени на разработку ПС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Содержание работ</w:t>
            </w:r>
          </w:p>
        </w:tc>
        <w:tc>
          <w:tcPr>
            <w:tcW w:type="dxa" w:w="2880"/>
          </w:tcPr>
          <w:p>
            <w:r>
              <w:t>Исполнитель</w:t>
            </w:r>
          </w:p>
        </w:tc>
        <w:tc>
          <w:tcPr>
            <w:tcW w:type="dxa" w:w="2880"/>
          </w:tcPr>
          <w:p>
            <w:r>
              <w:t>Трудозатраты, чел.-час</w:t>
            </w:r>
          </w:p>
        </w:tc>
      </w:tr>
      <w:tr>
        <w:tc>
          <w:tcPr>
            <w:tcW w:type="dxa" w:w="2880"/>
          </w:tcPr>
          <w:p>
            <w:r>
              <w:t>Планирование, декомпозиция задач, контроль сроков, сопровождение коммуникации с заказчиком</w:t>
            </w:r>
          </w:p>
        </w:tc>
        <w:tc>
          <w:tcPr>
            <w:tcW w:type="dxa" w:w="2880"/>
          </w:tcPr>
          <w:p>
            <w:r>
              <w:t>проджект-менеджер</w:t>
            </w:r>
          </w:p>
        </w:tc>
        <w:tc>
          <w:tcPr>
            <w:tcW w:type="dxa" w:w="2880"/>
          </w:tcPr>
          <w:p>
            <w:r>
              <w:t>48</w:t>
            </w:r>
          </w:p>
        </w:tc>
      </w:tr>
      <w:tr>
        <w:tc>
          <w:tcPr>
            <w:tcW w:type="dxa" w:w="2880"/>
          </w:tcPr>
          <w:p>
            <w:r>
              <w:t>Техническое задание, уточнение предметной области и пользовательских сценариев</w:t>
            </w:r>
          </w:p>
        </w:tc>
        <w:tc>
          <w:tcPr>
            <w:tcW w:type="dxa" w:w="2880"/>
          </w:tcPr>
          <w:p>
            <w:r>
              <w:t>бизнес-аналитик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>
              <w:t>Проектирование UX/UI веб-клиента (редактор, каталоги, оплата)</w:t>
            </w:r>
          </w:p>
        </w:tc>
        <w:tc>
          <w:tcPr>
            <w:tcW w:type="dxa" w:w="2880"/>
          </w:tcPr>
          <w:p>
            <w:r>
              <w:t>ux/ui-дизайнер</w:t>
            </w:r>
          </w:p>
        </w:tc>
        <w:tc>
          <w:tcPr>
            <w:tcW w:type="dxa" w:w="2880"/>
          </w:tcPr>
          <w:p>
            <w:r>
              <w:t>104</w:t>
            </w:r>
          </w:p>
        </w:tc>
      </w:tr>
      <w:tr>
        <w:tc>
          <w:tcPr>
            <w:tcW w:type="dxa" w:w="2880"/>
          </w:tcPr>
          <w:p>
            <w:r>
              <w:t>Реализация клиентской части (Next.js, React, состояние, формы оплаты/подписки на UI-уровне)</w:t>
            </w:r>
          </w:p>
        </w:tc>
        <w:tc>
          <w:tcPr>
            <w:tcW w:type="dxa" w:w="2880"/>
          </w:tcPr>
          <w:p>
            <w:r>
              <w:t>frontend-разработчик</w:t>
            </w:r>
          </w:p>
        </w:tc>
        <w:tc>
          <w:tcPr>
            <w:tcW w:type="dxa" w:w="2880"/>
          </w:tcPr>
          <w:p>
            <w:r>
              <w:t>136</w:t>
            </w:r>
          </w:p>
        </w:tc>
      </w:tr>
      <w:tr>
        <w:tc>
          <w:tcPr>
            <w:tcW w:type="dxa" w:w="2880"/>
          </w:tcPr>
          <w:p>
            <w:r>
              <w:t>Реализация серверной части (ASP.NET Core, EF Core, платежная и подписочная логика, медиа)</w:t>
            </w:r>
          </w:p>
        </w:tc>
        <w:tc>
          <w:tcPr>
            <w:tcW w:type="dxa" w:w="2880"/>
          </w:tcPr>
          <w:p>
            <w:r>
              <w:t>backend-разработчик</w:t>
            </w:r>
          </w:p>
        </w:tc>
        <w:tc>
          <w:tcPr>
            <w:tcW w:type="dxa" w:w="2880"/>
          </w:tcPr>
          <w:p>
            <w:r>
              <w:t>168</w:t>
            </w:r>
          </w:p>
        </w:tc>
      </w:tr>
      <w:tr>
        <w:tc>
          <w:tcPr>
            <w:tcW w:type="dxa" w:w="2880"/>
          </w:tcPr>
          <w:p>
            <w:r>
              <w:t>Функциональное тестирование и регресс по ролям</w:t>
            </w:r>
          </w:p>
        </w:tc>
        <w:tc>
          <w:tcPr>
            <w:tcW w:type="dxa" w:w="2880"/>
          </w:tcPr>
          <w:p>
            <w:r>
              <w:t>тестировщик</w:t>
            </w:r>
          </w:p>
        </w:tc>
        <w:tc>
          <w:tcPr>
            <w:tcW w:type="dxa" w:w="2880"/>
          </w:tcPr>
          <w:p>
            <w:r>
              <w:t>56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Итого</w:t>
            </w:r>
          </w:p>
        </w:tc>
        <w:tc>
          <w:tcPr>
            <w:tcW w:type="dxa" w:w="2880"/>
          </w:tcPr>
          <w:p>
            <w:r>
              <w:t>536</w:t>
            </w:r>
          </w:p>
        </w:tc>
      </w:tr>
    </w:tbl>
    <w:p/>
    <w:p>
      <w:r>
        <w:t>По таблице 6.3 суммарные трудозатраты составили 536 чел.-часов. Наибольшая доля приходится на backend и frontend, что характерно для веб-сервиса с оплатой и пользовательским контентом.</w:t>
      </w:r>
    </w:p>
    <w:p>
      <w:pPr>
        <w:pStyle w:val="Heading3"/>
      </w:pPr>
      <w:r>
        <w:t>6.3.2 Расчёт основной заработной платы</w:t>
      </w:r>
    </w:p>
    <w:p>
      <w:r>
        <w:t>Часовые ставки и начисления по специальностям условно согласованы с нижней границей рынка по данным региональных источников. Основная заработная плата (Соз,i) считается по формуле 6.1: Соз,i = Чi · Тi (часы × тариф).</w:t>
      </w:r>
    </w:p>
    <w:p>
      <w:r>
        <w:rPr>
          <w:b/>
        </w:rPr>
        <w:t>Таблица 6.4 – Расчёт основной заработной платы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Вид работ</w:t>
            </w:r>
          </w:p>
        </w:tc>
        <w:tc>
          <w:tcPr>
            <w:tcW w:type="dxa" w:w="1728"/>
          </w:tcPr>
          <w:p>
            <w:r>
              <w:t>Месячная ЗП по данным ставки, BYN</w:t>
            </w:r>
          </w:p>
        </w:tc>
        <w:tc>
          <w:tcPr>
            <w:tcW w:type="dxa" w:w="1728"/>
          </w:tcPr>
          <w:p>
            <w:r>
              <w:t>Часовая тарифная ставка, BYN</w:t>
            </w:r>
          </w:p>
        </w:tc>
        <w:tc>
          <w:tcPr>
            <w:tcW w:type="dxa" w:w="1728"/>
          </w:tcPr>
          <w:p>
            <w:r>
              <w:t>Продолжительность работ, час</w:t>
            </w:r>
          </w:p>
        </w:tc>
        <w:tc>
          <w:tcPr>
            <w:tcW w:type="dxa" w:w="1728"/>
          </w:tcPr>
          <w:p>
            <w:r>
              <w:t>Основная заработная плата раздела, BYN</w:t>
            </w:r>
          </w:p>
        </w:tc>
      </w:tr>
      <w:tr>
        <w:tc>
          <w:tcPr>
            <w:tcW w:type="dxa" w:w="1728"/>
          </w:tcPr>
          <w:p>
            <w:r>
              <w:t>Backend-разработчик</w:t>
            </w:r>
          </w:p>
        </w:tc>
        <w:tc>
          <w:tcPr>
            <w:tcW w:type="dxa" w:w="1728"/>
          </w:tcPr>
          <w:p>
            <w:r>
              <w:t>2745,00</w:t>
            </w:r>
          </w:p>
        </w:tc>
        <w:tc>
          <w:tcPr>
            <w:tcW w:type="dxa" w:w="1728"/>
          </w:tcPr>
          <w:p>
            <w:r>
              <w:t>16,34</w:t>
            </w:r>
          </w:p>
        </w:tc>
        <w:tc>
          <w:tcPr>
            <w:tcW w:type="dxa" w:w="1728"/>
          </w:tcPr>
          <w:p>
            <w:r>
              <w:t>168</w:t>
            </w:r>
          </w:p>
        </w:tc>
        <w:tc>
          <w:tcPr>
            <w:tcW w:type="dxa" w:w="1728"/>
          </w:tcPr>
          <w:p>
            <w:r>
              <w:t>2745,12</w:t>
            </w:r>
          </w:p>
        </w:tc>
      </w:tr>
      <w:tr>
        <w:tc>
          <w:tcPr>
            <w:tcW w:type="dxa" w:w="1728"/>
          </w:tcPr>
          <w:p>
            <w:r>
              <w:t>Frontend-разработчик</w:t>
            </w:r>
          </w:p>
        </w:tc>
        <w:tc>
          <w:tcPr>
            <w:tcW w:type="dxa" w:w="1728"/>
          </w:tcPr>
          <w:p>
            <w:r>
              <w:t>2576,00</w:t>
            </w:r>
          </w:p>
        </w:tc>
        <w:tc>
          <w:tcPr>
            <w:tcW w:type="dxa" w:w="1728"/>
          </w:tcPr>
          <w:p>
            <w:r>
              <w:t>15,33</w:t>
            </w:r>
          </w:p>
        </w:tc>
        <w:tc>
          <w:tcPr>
            <w:tcW w:type="dxa" w:w="1728"/>
          </w:tcPr>
          <w:p>
            <w:r>
              <w:t>136</w:t>
            </w:r>
          </w:p>
        </w:tc>
        <w:tc>
          <w:tcPr>
            <w:tcW w:type="dxa" w:w="1728"/>
          </w:tcPr>
          <w:p>
            <w:r>
              <w:t>2084,88</w:t>
            </w:r>
          </w:p>
        </w:tc>
      </w:tr>
      <w:tr>
        <w:tc>
          <w:tcPr>
            <w:tcW w:type="dxa" w:w="1728"/>
          </w:tcPr>
          <w:p>
            <w:r>
              <w:t>ux/ui дизайнер</w:t>
            </w:r>
          </w:p>
        </w:tc>
        <w:tc>
          <w:tcPr>
            <w:tcW w:type="dxa" w:w="1728"/>
          </w:tcPr>
          <w:p>
            <w:r>
              <w:t>2289,00</w:t>
            </w:r>
          </w:p>
        </w:tc>
        <w:tc>
          <w:tcPr>
            <w:tcW w:type="dxa" w:w="1728"/>
          </w:tcPr>
          <w:p>
            <w:r>
              <w:t>13,63</w:t>
            </w:r>
          </w:p>
        </w:tc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1417,52</w:t>
            </w:r>
          </w:p>
        </w:tc>
      </w:tr>
      <w:tr>
        <w:tc>
          <w:tcPr>
            <w:tcW w:type="dxa" w:w="1728"/>
          </w:tcPr>
          <w:p>
            <w:r>
              <w:t>Бизнес-аналитик</w:t>
            </w:r>
          </w:p>
        </w:tc>
        <w:tc>
          <w:tcPr>
            <w:tcW w:type="dxa" w:w="1728"/>
          </w:tcPr>
          <w:p>
            <w:r>
              <w:t>2450,00</w:t>
            </w:r>
          </w:p>
        </w:tc>
        <w:tc>
          <w:tcPr>
            <w:tcW w:type="dxa" w:w="1728"/>
          </w:tcPr>
          <w:p>
            <w:r>
              <w:t>14,58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349,92</w:t>
            </w:r>
          </w:p>
        </w:tc>
      </w:tr>
      <w:tr>
        <w:tc>
          <w:tcPr>
            <w:tcW w:type="dxa" w:w="1728"/>
          </w:tcPr>
          <w:p>
            <w:r>
              <w:t>Тестировщик</w:t>
            </w:r>
          </w:p>
        </w:tc>
        <w:tc>
          <w:tcPr>
            <w:tcW w:type="dxa" w:w="1728"/>
          </w:tcPr>
          <w:p>
            <w:r>
              <w:t>2145,00</w:t>
            </w:r>
          </w:p>
        </w:tc>
        <w:tc>
          <w:tcPr>
            <w:tcW w:type="dxa" w:w="1728"/>
          </w:tcPr>
          <w:p>
            <w:r>
              <w:t>12,77</w:t>
            </w:r>
          </w:p>
        </w:tc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715,12</w:t>
            </w:r>
          </w:p>
        </w:tc>
      </w:tr>
      <w:tr>
        <w:tc>
          <w:tcPr>
            <w:tcW w:type="dxa" w:w="1728"/>
          </w:tcPr>
          <w:p>
            <w:r>
              <w:t>Проджект-менеджер</w:t>
            </w:r>
          </w:p>
        </w:tc>
        <w:tc>
          <w:tcPr>
            <w:tcW w:type="dxa" w:w="1728"/>
          </w:tcPr>
          <w:p>
            <w:r>
              <w:t>2487,00</w:t>
            </w:r>
          </w:p>
        </w:tc>
        <w:tc>
          <w:tcPr>
            <w:tcW w:type="dxa" w:w="1728"/>
          </w:tcPr>
          <w:p>
            <w:r>
              <w:t>14,80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710,40</w:t>
            </w:r>
          </w:p>
        </w:tc>
      </w:tr>
      <w:tr>
        <w:tc>
          <w:tcPr>
            <w:tcW w:type="dxa" w:w="1728"/>
          </w:tcPr>
          <w:p>
            <w:r>
              <w:t>Итого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536</w:t>
            </w:r>
          </w:p>
        </w:tc>
        <w:tc>
          <w:tcPr>
            <w:tcW w:type="dxa" w:w="1728"/>
          </w:tcPr>
          <w:p>
            <w:r>
              <w:t>8022,96</w:t>
            </w:r>
          </w:p>
        </w:tc>
      </w:tr>
    </w:tbl>
    <w:p/>
    <w:p>
      <w:r>
        <w:t>Суммарная основная заработная плата по формуле 6.1 составила 8 022,96 BYN и далее используется как база для социальных и накладных начислений.</w:t>
      </w:r>
    </w:p>
    <w:p>
      <w:pPr>
        <w:pStyle w:val="Heading3"/>
      </w:pPr>
      <w:r>
        <w:t>6.3.3 Расчёт дополнительной заработной платы</w:t>
      </w:r>
    </w:p>
    <w:p>
      <w:r>
        <w:t>Дополнительная заработная плата (Сдз) начисляется по нормативу Ндз согласно формуле 6.2 и составила 962,76 BYN.</w:t>
      </w:r>
    </w:p>
    <w:p>
      <w:pPr>
        <w:pStyle w:val="Heading3"/>
      </w:pPr>
      <w:r>
        <w:t>6.3.4 Отчисления в ФСЗН и обязательное страхование</w:t>
      </w:r>
    </w:p>
    <w:p>
      <w:r>
        <w:t>Отчисления в ФСЗН (Сфсзн) выполняются с базы основной и дополнительной заработной платы по формуле 6.3 (Сфсзн = (Соз+Сдз)·Нфсзн / 100) и составили 3 055,14 BYN; отчисления в БРУСП «Белгосстрах» (Сбгс) по формуле 6.4 дают 53,91 BYN.</w:t>
      </w:r>
    </w:p>
    <w:p>
      <w:pPr>
        <w:pStyle w:val="Heading3"/>
      </w:pPr>
      <w:r>
        <w:t>6.3.5 Расчёт прочих прямых затрат</w:t>
      </w:r>
    </w:p>
    <w:p>
      <w:r>
        <w:t>Прочие прямые затраты включают внешние услуги (хостинг, доменное имя, сертификация платёжной интеграции в тестовой среде, временное использование платных SDK и пр.), рассчитанные условным нормативом от основной заработной платы по формуле 6.5 (Спз = Соз · Нпз / 100). Спз составила 2 005,74 BYN.</w:t>
      </w:r>
    </w:p>
    <w:p>
      <w:pPr>
        <w:pStyle w:val="Heading3"/>
      </w:pPr>
      <w:r>
        <w:t>6.3.6 Накладные расходы</w:t>
      </w:r>
    </w:p>
    <w:p>
      <w:r>
        <w:t>Накладные расходы (Собп,опх) определяются по формуле 6.6 от основной заработной платы исполнителей и составили 3 530,10 BYN.</w:t>
      </w:r>
    </w:p>
    <w:p>
      <w:pPr>
        <w:pStyle w:val="Heading3"/>
      </w:pPr>
      <w:r>
        <w:t>6.3.7 Сумма затрат непосредственно на разработку</w:t>
      </w:r>
    </w:p>
    <w:p>
      <w:r>
        <w:t>Совокупность расходов на разработку (Ср), без суммы последующего сопровождения по формулам отчётности организации подставляется в выражение 6.7: Ср = Соз + Сдз + Сфсзн + Сбгс + Спз + Собп,опх и равна 17 630,61 BYN.</w:t>
      </w:r>
    </w:p>
    <w:p>
      <w:pPr>
        <w:pStyle w:val="Heading3"/>
      </w:pPr>
      <w:r>
        <w:t>6.3.8 Расходы на сопровождение и полная себестоимость</w:t>
      </w:r>
    </w:p>
    <w:p>
      <w:r>
        <w:t>Расходы на сопровождение и адаптацию (Срса) при Нрса находят по формуле 6.8 от суммы затрат на разработку и составляют 1 763,06 BYN. Полная себестоимость (Сп) по формуле 6.9 (Сп = Ср + Срса) принята 19 393,67 BYN.</w:t>
      </w:r>
    </w:p>
    <w:p>
      <w:pPr>
        <w:pStyle w:val="Heading3"/>
      </w:pPr>
      <w:r>
        <w:t>6.3.10 Оценка экономической эффективности (модель подписки)</w:t>
      </w:r>
    </w:p>
    <w:p>
      <w:r>
        <w:t>В отличие от показателя по рекламной монетизации, для «Guitar Notepad» в качестве базовой гипотезы принимается подписочная выручка: пользователи платят премиум-тариф и/или регулярные взносы за доступ к платным альбомам авторов (в терминологии приложения — подписка на содержание альбома и расширенные лимиты).</w:t>
      </w:r>
    </w:p>
    <w:p>
      <w:r>
        <w:t>Прогнозный средний платёж в месяц на одного активного платящего пользователя задан как P = 17,65 BYN после условного приведения тарифной сетки. Для расчёта срока окупаемости разработческих затрат считают усредняемую установившуюся численность платящих аккаунтов N = 40 «активных» подписчиков суммарно по каналам (премиум и оплата авторского контента). Тогда годовой денежный поток поступления от подписочных платежей D_год оценивается по формуле 6.10: D_год = N · P · 12.</w:t>
      </w:r>
    </w:p>
    <w:p>
      <w:r>
        <w:t>Подстановка параметров даёт D_год ≈ 8 470 BYN в год.</w:t>
      </w:r>
    </w:p>
    <w:p>
      <w:r>
        <w:t>Комиссии платёжного оператора и налог на реализацию услуги подписки в выпускной работе включены упрощающей допущением через небольшой запас коэффициента при выборе P (при более детальном финансовом планировании добавляются отдельными строками). Срок окупаемости Tок по пороговой сумме Сп вычисляется по формуле 6.11:</w:t>
      </w:r>
    </w:p>
    <w:p>
      <w:r>
        <w:t>Tок = Сп / D_год.</w:t>
      </w:r>
    </w:p>
    <w:p>
      <w:r>
        <w:t>При Сп = 19 393,67 BYN и D_год ≈ 8 470 BYN получено Tок ≈ 2,28 года для консервативного сценария притока подписчиков.</w:t>
      </w:r>
    </w:p>
    <w:p>
      <w:pPr>
        <w:pStyle w:val="Heading2"/>
      </w:pPr>
      <w:r>
        <w:t>6.4 Выводы по разделу</w:t>
      </w:r>
    </w:p>
    <w:p>
      <w:pPr>
        <w:jc w:val="both"/>
      </w:pPr>
      <w:r>
        <w:t>В таблице 6.6 зафиксированы производные финансово-экономические показатели по результатам калькуляции: трудозатраты 536 чел.-часов соответствуют приведённому объёму реализации веб-платформы с оплатами; себестоимость разработки (19 393,67 BYN) сходима с балльным рядом калькуляторов из таблицы 6.2 после пересчёта валют. Потребность в продукте обусловлена растущим интересом к самостоятельной занятости музыкой при очевидном «цифровом» формате обучения; подписочная модель снимает задачу «разовых» платежей и соотносится с реализованной в приложении возможностью монетизации авторского контента. Экономический эффект в первой очередь опирается не на CTR рекламных блоков, а на среднюю платёжеспособность и удержание подписчиков; при сохранении сценария D_год срок простой окупаемости ориентируется порядка 2,28 года, что является показательным результатом без учёта дальнейшего масштабирования (дополнительные тарифные планы, корпоративные аккаунты, расширение медиафункций). Разработанное средство технически соответствует современному стеку и допускает дальнейшую коммерческую эксплуатацию на основе описанной ценностной модели подписки.</w:t>
      </w:r>
    </w:p>
    <w:p>
      <w:r>
        <w:rPr>
          <w:b/>
        </w:rPr>
        <w:t>Таблица 6.6 – Сводные экономические показатели расчётов раздела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 показателя</w:t>
            </w:r>
          </w:p>
        </w:tc>
        <w:tc>
          <w:tcPr>
            <w:tcW w:type="dxa" w:w="4320"/>
          </w:tcPr>
          <w:p>
            <w:r>
              <w:t>Значение показателя</w:t>
            </w:r>
          </w:p>
        </w:tc>
      </w:tr>
      <w:tr>
        <w:tc>
          <w:tcPr>
            <w:tcW w:type="dxa" w:w="4320"/>
          </w:tcPr>
          <w:p>
            <w:r>
              <w:t>Время разработки, чел.-час</w:t>
            </w:r>
          </w:p>
        </w:tc>
        <w:tc>
          <w:tcPr>
            <w:tcW w:type="dxa" w:w="4320"/>
          </w:tcPr>
          <w:p>
            <w:r>
              <w:t>536</w:t>
            </w:r>
          </w:p>
        </w:tc>
      </w:tr>
      <w:tr>
        <w:tc>
          <w:tcPr>
            <w:tcW w:type="dxa" w:w="4320"/>
          </w:tcPr>
          <w:p>
            <w:r>
              <w:t>Основная заработная плата, BYN</w:t>
            </w:r>
          </w:p>
        </w:tc>
        <w:tc>
          <w:tcPr>
            <w:tcW w:type="dxa" w:w="4320"/>
          </w:tcPr>
          <w:p>
            <w:r>
              <w:t>8 022,96</w:t>
            </w:r>
          </w:p>
        </w:tc>
      </w:tr>
      <w:tr>
        <w:tc>
          <w:tcPr>
            <w:tcW w:type="dxa" w:w="4320"/>
          </w:tcPr>
          <w:p>
            <w:r>
              <w:t>Дополнительная заработная плата, BYN</w:t>
            </w:r>
          </w:p>
        </w:tc>
        <w:tc>
          <w:tcPr>
            <w:tcW w:type="dxa" w:w="4320"/>
          </w:tcPr>
          <w:p>
            <w:r>
              <w:t>962,76</w:t>
            </w:r>
          </w:p>
        </w:tc>
      </w:tr>
      <w:tr>
        <w:tc>
          <w:tcPr>
            <w:tcW w:type="dxa" w:w="4320"/>
          </w:tcPr>
          <w:p>
            <w:r>
              <w:t>Отчисления в ФСЗН, BYN</w:t>
            </w:r>
          </w:p>
        </w:tc>
        <w:tc>
          <w:tcPr>
            <w:tcW w:type="dxa" w:w="4320"/>
          </w:tcPr>
          <w:p>
            <w:r>
              <w:t>3 055,14</w:t>
            </w:r>
          </w:p>
        </w:tc>
      </w:tr>
      <w:tr>
        <w:tc>
          <w:tcPr>
            <w:tcW w:type="dxa" w:w="4320"/>
          </w:tcPr>
          <w:p>
            <w:r>
              <w:t>Отчисления в БРУСП «Белгосстрах», BYN</w:t>
            </w:r>
          </w:p>
        </w:tc>
        <w:tc>
          <w:tcPr>
            <w:tcW w:type="dxa" w:w="4320"/>
          </w:tcPr>
          <w:p>
            <w:r>
              <w:t>53,91</w:t>
            </w:r>
          </w:p>
        </w:tc>
      </w:tr>
      <w:tr>
        <w:tc>
          <w:tcPr>
            <w:tcW w:type="dxa" w:w="4320"/>
          </w:tcPr>
          <w:p>
            <w:r>
              <w:t>Прочие прямые затраты, BYN</w:t>
            </w:r>
          </w:p>
        </w:tc>
        <w:tc>
          <w:tcPr>
            <w:tcW w:type="dxa" w:w="4320"/>
          </w:tcPr>
          <w:p>
            <w:r>
              <w:t>2 005,74</w:t>
            </w:r>
          </w:p>
        </w:tc>
      </w:tr>
      <w:tr>
        <w:tc>
          <w:tcPr>
            <w:tcW w:type="dxa" w:w="4320"/>
          </w:tcPr>
          <w:p>
            <w:r>
              <w:t>Накладные расходы, BYN</w:t>
            </w:r>
          </w:p>
        </w:tc>
        <w:tc>
          <w:tcPr>
            <w:tcW w:type="dxa" w:w="4320"/>
          </w:tcPr>
          <w:p>
            <w:r>
              <w:t>3 530,10</w:t>
            </w:r>
          </w:p>
        </w:tc>
      </w:tr>
      <w:tr>
        <w:tc>
          <w:tcPr>
            <w:tcW w:type="dxa" w:w="4320"/>
          </w:tcPr>
          <w:p>
            <w:r>
              <w:t>Себестоимость разработки ПС без сопровождения, BYN</w:t>
            </w:r>
          </w:p>
        </w:tc>
        <w:tc>
          <w:tcPr>
            <w:tcW w:type="dxa" w:w="4320"/>
          </w:tcPr>
          <w:p>
            <w:r>
              <w:t>17 630,61</w:t>
            </w:r>
          </w:p>
        </w:tc>
      </w:tr>
      <w:tr>
        <w:tc>
          <w:tcPr>
            <w:tcW w:type="dxa" w:w="4320"/>
          </w:tcPr>
          <w:p>
            <w:r>
              <w:t>Расходы на сопровождение и адаптацию, BYN</w:t>
            </w:r>
          </w:p>
        </w:tc>
        <w:tc>
          <w:tcPr>
            <w:tcW w:type="dxa" w:w="4320"/>
          </w:tcPr>
          <w:p>
            <w:r>
              <w:t>1 763,06</w:t>
            </w:r>
          </w:p>
        </w:tc>
      </w:tr>
      <w:tr>
        <w:tc>
          <w:tcPr>
            <w:tcW w:type="dxa" w:w="4320"/>
          </w:tcPr>
          <w:p>
            <w:r>
              <w:t>Полная себестоимость Сп, BYN</w:t>
            </w:r>
          </w:p>
        </w:tc>
        <w:tc>
          <w:tcPr>
            <w:tcW w:type="dxa" w:w="4320"/>
          </w:tcPr>
          <w:p>
            <w:r>
              <w:t>19 393,67</w:t>
            </w:r>
          </w:p>
        </w:tc>
      </w:tr>
      <w:tr>
        <w:tc>
          <w:tcPr>
            <w:tcW w:type="dxa" w:w="4320"/>
          </w:tcPr>
          <w:p>
            <w:r>
              <w:t>Годовые денежные поступления от подписочных платежей (прогноз), BYN</w:t>
            </w:r>
          </w:p>
        </w:tc>
        <w:tc>
          <w:tcPr>
            <w:tcW w:type="dxa" w:w="4320"/>
          </w:tcPr>
          <w:p>
            <w:r>
              <w:t>≈ 8 470</w:t>
            </w:r>
          </w:p>
        </w:tc>
      </w:tr>
      <w:tr>
        <w:tc>
          <w:tcPr>
            <w:tcW w:type="dxa" w:w="4320"/>
          </w:tcPr>
          <w:p>
            <w:r>
              <w:t>Ориентировочный срок окупаемости Сп, лет</w:t>
            </w:r>
          </w:p>
        </w:tc>
        <w:tc>
          <w:tcPr>
            <w:tcW w:type="dxa" w:w="4320"/>
          </w:tcPr>
          <w:p>
            <w:r>
              <w:t>≈ 2,28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