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2"/>
        </w:rPr>
        <w:t>Formato de entrega, evidencias y calificación — Proyecto 2</w:t>
      </w:r>
    </w:p>
    <w:p>
      <w:pPr>
        <w:jc w:val="center"/>
      </w:pPr>
      <w:r>
        <w:rPr>
          <w:i/>
        </w:rPr>
        <w:t>Integra entrega, registro de evidencia, valoración por criterio y consolidación de la nota. La nota académica y el logro ABET se interpretan por separado.</w:t>
      </w:r>
    </w:p>
    <w:p>
      <w:pPr>
        <w:pStyle w:val="Heading1"/>
        <w:spacing w:before="120" w:after="60"/>
      </w:pPr>
      <w:r>
        <w:rPr>
          <w:color w:val="1F4E78"/>
        </w:rPr>
        <w:t>1. Identificación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35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Programa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Ingeniería Mecatrónica</w:t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Asignatura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Inteligencia Artificial</w:t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Periodo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2026-2</w:t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Corte / momento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Segundo corte</w:t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Actividad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Proyecto 2 (Segundo corte): Clasificación de imágenes aéreas para detección de barcos de carga. Contexto mecatrónico: El clasificador binario se integrará al sistema de percepción y visión artificial embarcado en un vehículo aéreo no tripulado (drone / UAV) para el monitoreo automatizado de tráfico e inspección de embarcaciones en zonas portuarias. Especificación técnica y dinámica de prueba: Diseñar e implementar un clasificador binario (barco / no barco) a partir de imágenes aéreas satelitales (80x80 px, RGB), con preprocesamiento, extracción de descriptores visuales y validación cruzada. Para el día de la prueba, se debe implementar una interfaz de usuario (UI) donde se carguen las imágenes de test a una carpeta y la UI permita etiquetarlas, hacer inferencia y realizar la evaluación en vivo, buscando un accuracy superior al 98% en el conjunto de prueba desconocido (penalización de 0.5 por cada 2% debajo de 98%). Referencias y dataset: (1) Inspección portuaria con drones: https://maritime-executive.com/article/rotterdam-tests-drones-for-ship-inspections-and-monitoring-the-port ; (2) Artículo técnico de referencia: https://iopscience.iop.org/article/10.1088/1755-1315/557/1/012014/pdf ; (3) Dataset en Kaggle (Ships in Satellite Imagery): https://www.kaggle.com/datasets/rhammell/ships-in-satellite-imagery</w:t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Evaluador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Docente responsable</w:t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Versión del instrumento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Nombre del estudiante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Código institucional / STUDENT_ID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Grupo o equipo, si aplica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sz w:val="16"/>
              </w:rPr>
              <w:t xml:space="preserve">Individual</w:t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Fecha de entrega y prueba en vivo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Enlace a la interfaz de usuario de presentación de resultados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sz w:val="16"/>
              </w:rPr>
              <w:t xml:space="preserve">https://github.com/N1k0vINTsP/Clasificador-Binario---Detecci-n-de-barcos-IA-2026-2-</w:t>
            </w:r>
          </w:p>
          <w:p>
            <w:pPr>
              <w:spacing w:after="0"/>
            </w:pPr>
            <w:r>
              <w:rPr>
                <w:sz w:val="16"/>
              </w:rPr>
              <w:t xml:space="preserve">La interfaz es app.py (Streamlit): se instala con «pip install -r requirements.txt» y se abre con «streamlit run app.py». El README explica el uso.</w:t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Ruta o carpeta de imágenes de prueba configurada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sz w:val="16"/>
              </w:rPr>
              <w:t xml:space="preserve">Carpeta test/ del repositorio, que la interfaz carga por defecto. Se puede cambiar en la barra lateral (escribiendo la ruta o con «Elegir carpeta…») o arrastrando los archivos.</w:t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Dataset referenciado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sz w:val="16"/>
              </w:rPr>
              <w:t xml:space="preserve">Ships in Satellite Imagery (ShipsNet), Kaggle: 4000 recortes RGB de 80×80 de PlanetScope a 3 m, 1000 con barco.</w:t>
            </w:r>
          </w:p>
          <w:p>
            <w:pPr>
              <w:spacing w:after="0"/>
            </w:pPr>
            <w:r>
              <w:rPr>
                <w:sz w:val="16"/>
              </w:rPr>
              <w:t xml:space="preserve">Para mejorar la generalización se agregaron 1528 recortes de 7 escenas de puertos del programa Maxar Open Data. La prueba externa usa 322 recortes del puerto de Rotterdam (SpaceNet 6) y 201 de las escenas completas de Planet del mismo Kaggle.</w:t>
            </w:r>
          </w:p>
        </w:tc>
      </w:tr>
    </w:tbl>
    <w:p>
      <w:pPr>
        <w:pStyle w:val="Heading1"/>
        <w:spacing w:before="120" w:after="60"/>
      </w:pPr>
      <w:r>
        <w:rPr>
          <w:color w:val="1F4E78"/>
        </w:rPr>
        <w:t>2. Uso del formato</w:t>
      </w:r>
    </w:p>
    <w:p>
      <w:pPr>
        <w:pStyle w:val="ListNumber"/>
      </w:pPr>
      <w:r>
        <w:t>La persona participante registra los localizadores de las evidencias requeridas.</w:t>
      </w:r>
    </w:p>
    <w:p>
      <w:pPr>
        <w:pStyle w:val="ListNumber"/>
      </w:pPr>
      <w:r>
        <w:t>Quien evalúa marca una sola banda por criterio y registra un valor exacto entre 0 y 500 dentro del intervalo demostrado.</w:t>
      </w:r>
    </w:p>
    <w:p>
      <w:pPr>
        <w:pStyle w:val="ListNumber"/>
      </w:pPr>
      <w:r>
        <w:t>La entrega exigible sin evidencia se procesa conforme a la regla académica; NA se reserva para población excluida por una regla autorizada.</w:t>
      </w:r>
    </w:p>
    <w:p>
      <w:pPr>
        <w:pStyle w:val="ListNumber"/>
      </w:pPr>
      <w:r>
        <w:t>Nombre del archivo: IA_Proyecto2_&lt;codigo&gt;_&lt;apellido&gt;.docx.</w:t>
      </w:r>
    </w:p>
    <w:p>
      <w:pPr>
        <w:pStyle w:val="ListNumber"/>
      </w:pPr>
      <w:r>
        <w:t>El código institucional debe coincidir en documento, entrega y exportación de notas.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357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Nivel</w:t>
            </w:r>
          </w:p>
        </w:tc>
        <w:tc>
          <w:tcPr>
            <w:tcW w:type="dxa" w:w="357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Intervalo / valor guía</w:t>
            </w:r>
          </w:p>
        </w:tc>
        <w:tc>
          <w:tcPr>
            <w:tcW w:type="dxa" w:w="357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Interpretación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N5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475–500 / guía 500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Excelente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N4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400–474 / guía 450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Bueno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N3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300–399 / guía 350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Aceptable / umbral de logro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N2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150–299 / guía 250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Parcial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N1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0–149 / guía 100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No cumple</w:t>
            </w:r>
          </w:p>
        </w:tc>
      </w:tr>
    </w:tbl>
    <w:p>
      <w:pPr>
        <w:pStyle w:val="Heading2"/>
        <w:spacing w:before="120" w:after="60"/>
      </w:pPr>
      <w:r>
        <w:rPr>
          <w:color w:val="1F4E78"/>
        </w:rPr>
        <w:t>2.1. Parámetros de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Parámetro</w:t>
            </w:r>
          </w:p>
        </w:tc>
        <w:tc>
          <w:tcPr>
            <w:tcW w:type="dxa" w:w="535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Regla adoptada</w:t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 w:val="0"/>
                <w:sz w:val="16"/>
              </w:rPr>
              <w:t>Población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Censo de estudiantes matriculados que deben presentar la actividad</w:t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 w:val="0"/>
                <w:sz w:val="16"/>
              </w:rPr>
              <w:t>Momento de medición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Segundo corte</w:t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 w:val="0"/>
                <w:sz w:val="16"/>
              </w:rPr>
              <w:t>Evaluador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Docente responsable</w:t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 w:val="0"/>
                <w:sz w:val="16"/>
              </w:rPr>
              <w:t>Umbral individual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N3 o superior en cada indicador evaluado</w:t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 w:val="0"/>
                <w:sz w:val="16"/>
              </w:rPr>
              <w:t>Meta de cohorte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Al menos 70% alcanza N3 o superior</w:t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 w:val="0"/>
                <w:sz w:val="16"/>
              </w:rPr>
              <w:t>Muestreo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No se usa muestra: se evalúa el censo de entregas exigibles</w:t>
            </w:r>
          </w:p>
        </w:tc>
      </w:tr>
      <w:tr>
        <w:tc>
          <w:tcPr>
            <w:tcW w:type="dxa" w:w="5355"/>
            <w:vAlign w:val="center"/>
            <w:shd w:fill="D9EAF7"/>
          </w:tcPr>
          <w:p>
            <w:pPr>
              <w:spacing w:after="0"/>
            </w:pPr>
            <w:r>
              <w:rPr>
                <w:b w:val="0"/>
                <w:sz w:val="16"/>
              </w:rPr>
              <w:t>Evidencia faltante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Ausencia en una entrega exigible = 0 académico; retiro oficial o exclusión autorizada = NA / no evaluado para ABET</w:t>
            </w:r>
          </w:p>
        </w:tc>
      </w:tr>
    </w:tbl>
    <w:p>
      <w:pPr>
        <w:pStyle w:val="Heading2"/>
        <w:spacing w:before="120" w:after="60"/>
      </w:pPr>
      <w:r>
        <w:rPr>
          <w:color w:val="1F4E78"/>
        </w:rPr>
        <w:t>2.2. Alineación de criterios</w:t>
      </w:r>
    </w:p>
    <w:p>
      <w:r>
        <w:t>Cada criterio produce una medida distinguible para un único indicador principal.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85"/>
        <w:gridCol w:w="1785"/>
        <w:gridCol w:w="1785"/>
        <w:gridCol w:w="1785"/>
        <w:gridCol w:w="1785"/>
        <w:gridCol w:w="1785"/>
      </w:tblGrid>
      <w:tr>
        <w:tc>
          <w:tcPr>
            <w:tcW w:type="dxa" w:w="178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178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Peso</w:t>
            </w:r>
          </w:p>
        </w:tc>
        <w:tc>
          <w:tcPr>
            <w:tcW w:type="dxa" w:w="178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Student Outcome</w:t>
            </w:r>
          </w:p>
        </w:tc>
        <w:tc>
          <w:tcPr>
            <w:tcW w:type="dxa" w:w="178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Indicador de desempeño literal</w:t>
            </w:r>
          </w:p>
        </w:tc>
        <w:tc>
          <w:tcPr>
            <w:tcW w:type="dxa" w:w="178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Evidencia</w:t>
            </w:r>
          </w:p>
        </w:tc>
        <w:tc>
          <w:tcPr>
            <w:tcW w:type="dxa" w:w="178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Unidad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C1. Metodología y técnicas de optimización de Machine Learning</w:t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50%</w:t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SO1</w:t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RAE-140: Hacer uso de técnicas de aprendizaje automático para optimizar el desempeño de un sistema mecatrónico.</w:t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E1 y E2</w:t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individual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C2. Evaluación, validación cruzada e inferencia de resultados en vivo</w:t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50%</w:t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SO6</w:t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RAE-144: Realizar inferencias sobre el desempeño de un algoritmo en la solución de un problema a partir del desarrollo de pruebas y aplicación de métricas apropiadas.</w:t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E3 y E4</w:t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individual</w:t>
            </w:r>
          </w:p>
        </w:tc>
      </w:tr>
    </w:tbl>
    <w:p>
      <w:pPr>
        <w:pStyle w:val="Heading1"/>
        <w:spacing w:before="120" w:after="60"/>
      </w:pPr>
      <w:r>
        <w:rPr>
          <w:color w:val="1F4E78"/>
        </w:rPr>
        <w:t>3. Registro mínimo de evidencias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357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357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Evidencia requerida</w:t>
            </w:r>
          </w:p>
        </w:tc>
        <w:tc>
          <w:tcPr>
            <w:tcW w:type="dxa" w:w="357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Archivo, enlace, página o ubicación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E1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Interfaz de usuario (UI) para el día de la prueba con soporte para carga de imágenes de test desde carpeta, etiquetado e inferencia del clasificador binario.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sz w:val="16"/>
              </w:rPr>
              <w:t xml:space="preserve">app.py y clasificador.py en la raíz del repositorio; instrucciones en README.md («Cómo correr la interfaz»).</w:t>
            </w:r>
          </w:p>
          <w:p>
            <w:pPr>
              <w:spacing w:after="0"/>
            </w:pPr>
            <w:r>
              <w:rPr>
                <w:sz w:val="16"/>
              </w:rPr>
              <w:t xml:space="preserve">Carga la carpeta de prueba, permite etiquetar con botones o con las teclas b / n y clasifica con el modelo ONNX (ResNet18-D) promediando 8 orientaciones.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E2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Demostración y sustento técnico de las técnicas de optimización aplicadas (preprocesamiento de imágenes, descriptores visuales, sintonización de hiperparámetros y arquitectura del clasificador).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sz w:val="16"/>
              </w:rPr>
              <w:t xml:space="preserve">docs/informe_tecnico.md, secciones 4 a 10, con figuras en docs/figuras/ y resultados en resultados/*.csv. Código en entrenamiento/.</w:t>
            </w:r>
          </w:p>
          <w:p>
            <w:pPr>
              <w:spacing w:after="0"/>
            </w:pPr>
            <w:r>
              <w:rPr>
                <w:sz w:val="16"/>
              </w:rPr>
              <w:t xml:space="preserve">Recorre línea base, descriptores HOG / LBP / color con SVM y búsqueda de C y γ, CNN propia con y sin aumento de datos, transferencia desde ImageNet, datos de otros puertos, robustez y costo de inferencia.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E3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Ejecución de la evaluación en vivo el día de la prueba sobre el conjunto de test desconocido de la carpeta y contraste con validación cruzada.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sz w:val="16"/>
              </w:rPr>
              <w:t xml:space="preserve">Se ejecuta en la interfaz el día de la prueba con la carpeta del docente. La tabla «Validación cruzada vs. prueba en vivo» y el intervalo de confianza del accuracy hacen el contraste.</w:t>
            </w:r>
          </w:p>
          <w:p>
            <w:pPr>
              <w:spacing w:after="0"/>
            </w:pPr>
            <w:r>
              <w:rPr>
                <w:sz w:val="16"/>
              </w:rPr>
              <w:t xml:space="preserve">«Guardar evaluación» deja CSV y JSON en resultados_en_vivo/. Protocolo en docs/informe_tecnico.md, sección 11.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E4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Visualización y análisis en tiempo real de métricas (accuracy en vivo, matriz de confusión, precisión, recall) en la interfaz.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sz w:val="16"/>
              </w:rPr>
              <w:t xml:space="preserve">Panel superior de la interfaz: accuracy en vivo con IC 95 %, precisión, recall, F1, matriz de confusión y curva de accuracy acumulado; se actualizan con cada etiqueta. Galería con aciertos y errores.</w:t>
            </w:r>
          </w:p>
        </w:tc>
      </w:tr>
    </w:tbl>
    <w:p>
      <w:pPr>
        <w:pStyle w:val="Heading1"/>
        <w:spacing w:before="120" w:after="60"/>
      </w:pPr>
      <w:r>
        <w:rPr>
          <w:color w:val="1F4E78"/>
        </w:rPr>
        <w:t>4. Selección del nivel alcanzado</w:t>
      </w:r>
    </w:p>
    <w:p>
      <w:r>
        <w:t>Marque una sola banda por criterio y registre un valor exacto de 0 a 500. NA no es una banda de desempeño ni produce nota.</w:t>
      </w:r>
    </w:p>
    <w:p>
      <w:pPr>
        <w:pStyle w:val="Heading2"/>
        <w:spacing w:before="120" w:after="60"/>
      </w:pPr>
      <w:r>
        <w:rPr>
          <w:color w:val="1F4E78"/>
        </w:rPr>
        <w:t>C1. Metodología y técnicas de optimización de Machine Learning — peso 50%</w:t>
      </w:r>
    </w:p>
    <w:p>
      <w:r>
        <w:rPr>
          <w:b/>
        </w:rPr>
        <w:t xml:space="preserve">SO / indicador: </w:t>
      </w:r>
      <w:r>
        <w:t>SO1 — RAE-140: Hacer uso de técnicas de aprendizaje automático para optimizar el desempeño de un sistema mecatrónico.</w:t>
      </w:r>
    </w:p>
    <w:p>
      <w:r>
        <w:rPr>
          <w:b/>
        </w:rPr>
        <w:t xml:space="preserve">Evidencia: </w:t>
      </w:r>
      <w:r>
        <w:t>E1 y E2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357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Marque</w:t>
            </w:r>
          </w:p>
        </w:tc>
        <w:tc>
          <w:tcPr>
            <w:tcW w:type="dxa" w:w="357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Nivel</w:t>
            </w:r>
          </w:p>
        </w:tc>
        <w:tc>
          <w:tcPr>
            <w:tcW w:type="dxa" w:w="357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Evidencia observable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</w:r>
            <w:sdt>
              <w:sdtPr>
                <w:alias w:val="C1-N5"/>
                <w:tag w:val="C1-N5"/>
                <w:id w:val="410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N5 — 475–500 / guía 500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Además de N4, demuestra una optimización integral y exhaustiva (ej. sintonización fina multivariada, análisis de sensibilidad y balance óptimo entre exactitud y eficiencia computacional para inferencia embarcada en dron), con fundamentación teórica y experimental rigurosa.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</w:r>
            <w:sdt>
              <w:sdtPr>
                <w:alias w:val="C1-N4"/>
                <w:tag w:val="C1-N4"/>
                <w:id w:val="41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N4 — 400–474 / guía 450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Además de N3, demuestra comparativamente el impacto de técnicas avanzadas de optimización (ej. búsqueda sistemática de hiperparámetros, regularización o extracción de descriptores visuales diferenciados), justificando cuantitativamente las decisiones tomadas para optimizar el sistema.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</w:r>
            <w:sdt>
              <w:sdtPr>
                <w:alias w:val="C1-N3"/>
                <w:tag w:val="C1-N3"/>
                <w:id w:val="41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N3 — 300–399 / guía 350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Demuestra y sustenta un proceso sistemático de optimización: establece una línea base (baseline), aplica técnicas de preprocesamiento/extracción de patrones visuales en las imágenes y calibra los parámetros del clasificador logrando una mejora demostrable en el desempeño del sistema.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</w:r>
            <w:sdt>
              <w:sdtPr>
                <w:alias w:val="C1-N2"/>
                <w:tag w:val="C1-N2"/>
                <w:id w:val="41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N2 — 150–299 / guía 250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Demuestra técnicas elementales de optimización (ej. ajuste empírico de parámetros o preprocesamiento básico), pero sin un procedimiento sistemático ni comparación estructurada frente a un modelo base (baseline).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</w:r>
            <w:sdt>
              <w:sdtPr>
                <w:alias w:val="C1-N1"/>
                <w:tag w:val="C1-N1"/>
                <w:id w:val="41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N1 — 0–149 / guía 100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No demuestra el uso de técnicas de optimización de Machine Learning, o implementa una configuración arbitraria sin justificación metodológica ni mejora observable en el desempeño del clasificador.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</w:r>
            <w:sdt>
              <w:sdtPr>
                <w:alias w:val="C1-NA"/>
                <w:tag w:val="C1-NA"/>
                <w:id w:val="41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NA — No evaluado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Aplicar sólo conforme a la regla documentada de población o exclusión.</w:t>
            </w:r>
          </w:p>
        </w:tc>
      </w:tr>
    </w:tbl>
    <w:p>
      <w:r>
        <w:rPr>
          <w:b/>
        </w:rPr>
        <w:t xml:space="preserve">Nivel C1 marcado: </w:t>
      </w:r>
      <w:r>
        <w:t xml:space="preserve">________    </w:t>
      </w:r>
      <w:r>
        <w:rPr>
          <w:b/>
        </w:rPr>
        <w:t xml:space="preserve">Valor exacto (0–500): </w:t>
      </w:r>
      <w:r>
        <w:t>________</w:t>
      </w:r>
    </w:p>
    <w:p>
      <w:r>
        <w:rPr>
          <w:b/>
        </w:rPr>
        <w:t xml:space="preserve">Localizador y observación individual: </w:t>
      </w:r>
      <w:r>
        <w:t>________________________________________________________</w:t>
      </w:r>
    </w:p>
    <w:p>
      <w:pPr>
        <w:pStyle w:val="Heading2"/>
        <w:spacing w:before="120" w:after="60"/>
      </w:pPr>
      <w:r>
        <w:rPr>
          <w:color w:val="1F4E78"/>
        </w:rPr>
        <w:t>C2. Evaluación, validación cruzada e inferencia de resultados en vivo — peso 50%</w:t>
      </w:r>
    </w:p>
    <w:p>
      <w:r>
        <w:rPr>
          <w:b/>
        </w:rPr>
        <w:t xml:space="preserve">SO / indicador: </w:t>
      </w:r>
      <w:r>
        <w:t>SO6 — RAE-144: Realizar inferencias sobre el desempeño de un algoritmo en la solución de un problema a partir del desarrollo de pruebas y aplicación de métricas apropiadas.</w:t>
      </w:r>
    </w:p>
    <w:p>
      <w:r>
        <w:rPr>
          <w:b/>
        </w:rPr>
        <w:t xml:space="preserve">Evidencia: </w:t>
      </w:r>
      <w:r>
        <w:t>E3 y E4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357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Marque</w:t>
            </w:r>
          </w:p>
        </w:tc>
        <w:tc>
          <w:tcPr>
            <w:tcW w:type="dxa" w:w="357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Nivel</w:t>
            </w:r>
          </w:p>
        </w:tc>
        <w:tc>
          <w:tcPr>
            <w:tcW w:type="dxa" w:w="357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Evidencia observable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</w:r>
            <w:sdt>
              <w:sdtPr>
                <w:alias w:val="C2-N5"/>
                <w:tag w:val="C2-N5"/>
                <w:id w:val="41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N5 — 475–500 / guía 500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Además de N4, la evaluación en vivo en la interfaz demuestra un accuracy superior al 98% en el set de prueba desconocido, evidenciando alta robustez y generalización.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</w:r>
            <w:sdt>
              <w:sdtPr>
                <w:alias w:val="C2-N4"/>
                <w:tag w:val="C2-N4"/>
                <w:id w:val="41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N4 — 400–474 / guía 450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Además de N3, la evaluación en vivo en la interfaz expone métricas detalladas (precisión, recall, F1, matriz de confusión) y logra un accuracy de al menos 96% en el set de prueba desconocido.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</w:r>
            <w:sdt>
              <w:sdtPr>
                <w:alias w:val="C2-N3"/>
                <w:tag w:val="C2-N3"/>
                <w:id w:val="41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N3 — 300–399 / guía 350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Realiza la evaluación en vivo en la interfaz sobre las imágenes de test de la carpeta, alcanzando un accuracy superior al 90% con sustento en validación cruzada.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</w:r>
            <w:sdt>
              <w:sdtPr>
                <w:alias w:val="C2-N2"/>
                <w:tag w:val="C2-N2"/>
                <w:id w:val="410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N2 — 150–299 / guía 250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Presenta una evaluación en vivo superficial o incompleta en la interfaz, sin contrastar validación cruzada o con errores en el cálculo de métricas.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</w:r>
            <w:sdt>
              <w:sdtPr>
                <w:alias w:val="C2-N1"/>
                <w:tag w:val="C2-N1"/>
                <w:id w:val="41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N1 — 0–149 / guía 100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No realiza evaluación en vivo ni presenta métricas sobre el conjunto de prueba desconocido.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</w:r>
            <w:sdt>
              <w:sdtPr>
                <w:alias w:val="C2-NA"/>
                <w:tag w:val="C2-NA"/>
                <w:id w:val="41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NA — No evaluado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Aplicar sólo conforme a la regla documentada de población o exclusión.</w:t>
            </w:r>
          </w:p>
        </w:tc>
      </w:tr>
    </w:tbl>
    <w:p>
      <w:r>
        <w:rPr>
          <w:b/>
        </w:rPr>
        <w:t xml:space="preserve">Nivel C2 marcado: </w:t>
      </w:r>
      <w:r>
        <w:t xml:space="preserve">________    </w:t>
      </w:r>
      <w:r>
        <w:rPr>
          <w:b/>
        </w:rPr>
        <w:t xml:space="preserve">Valor exacto (0–500): </w:t>
      </w:r>
      <w:r>
        <w:t>________</w:t>
      </w:r>
    </w:p>
    <w:p>
      <w:r>
        <w:rPr>
          <w:b/>
        </w:rPr>
        <w:t xml:space="preserve">Localizador y observación individual: </w:t>
      </w:r>
      <w:r>
        <w:t>________________________________________________________</w:t>
      </w:r>
    </w:p>
    <w:p>
      <w:pPr>
        <w:pStyle w:val="Heading1"/>
        <w:spacing w:before="120" w:after="60"/>
      </w:pPr>
      <w:r>
        <w:rPr>
          <w:color w:val="1F4E78"/>
        </w:rPr>
        <w:t>5. Captura y cálculo</w:t>
      </w:r>
    </w:p>
    <w:p>
      <w:r>
        <w:rPr>
          <w:rFonts w:ascii="Consolas" w:hAnsi="Consolas"/>
          <w:b/>
        </w:rPr>
        <w:t>Aporte del criterio = valor exacto × peso / 100</w:t>
      </w:r>
    </w:p>
    <w:p>
      <w:r>
        <w:rPr>
          <w:rFonts w:ascii="Consolas" w:hAnsi="Consolas"/>
          <w:b/>
        </w:rPr>
        <w:t>Nota de la actividad en captura = suma de aportes / 500</w:t>
      </w:r>
    </w:p>
    <w:p>
      <w:r>
        <w:rPr>
          <w:rFonts w:ascii="Consolas" w:hAnsi="Consolas"/>
          <w:b/>
        </w:rPr>
        <w:t>Nota académica = nota en captura × 5 / 500</w:t>
      </w:r>
    </w:p>
    <w:p>
      <w:pPr>
        <w:pStyle w:val="Heading1"/>
        <w:spacing w:before="120" w:after="60"/>
      </w:pPr>
      <w:r>
        <w:rPr>
          <w:color w:val="1F4E78"/>
        </w:rPr>
        <w:t>6. Consolidado final de calificación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42"/>
        <w:gridCol w:w="2142"/>
        <w:gridCol w:w="2142"/>
        <w:gridCol w:w="2142"/>
        <w:gridCol w:w="2142"/>
      </w:tblGrid>
      <w:tr>
        <w:tc>
          <w:tcPr>
            <w:tcW w:type="dxa" w:w="2142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2142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Peso</w:t>
            </w:r>
          </w:p>
        </w:tc>
        <w:tc>
          <w:tcPr>
            <w:tcW w:type="dxa" w:w="2142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Nivel</w:t>
            </w:r>
          </w:p>
        </w:tc>
        <w:tc>
          <w:tcPr>
            <w:tcW w:type="dxa" w:w="2142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Valor exacto</w:t>
            </w:r>
          </w:p>
        </w:tc>
        <w:tc>
          <w:tcPr>
            <w:tcW w:type="dxa" w:w="2142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Aporte ponderado</w:t>
            </w:r>
          </w:p>
        </w:tc>
      </w:tr>
      <w:tr>
        <w:tc>
          <w:tcPr>
            <w:tcW w:type="dxa" w:w="214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C1. Metodología y técnicas de optimización de Machine Learning</w:t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50%</w:t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14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C2. Evaluación, validación cruzada e inferencia de resultados en vivo</w:t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50%</w:t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142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2142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100%</w:t>
            </w:r>
          </w:p>
        </w:tc>
        <w:tc>
          <w:tcPr>
            <w:tcW w:type="dxa" w:w="2142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</w:r>
          </w:p>
        </w:tc>
        <w:tc>
          <w:tcPr>
            <w:tcW w:type="dxa" w:w="2142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</w:r>
          </w:p>
        </w:tc>
        <w:tc>
          <w:tcPr>
            <w:tcW w:type="dxa" w:w="2142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6"/>
              </w:rPr>
              <w:t>________ / 500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Resultado final</w:t>
            </w:r>
          </w:p>
        </w:tc>
        <w:tc>
          <w:tcPr>
            <w:tcW w:type="dxa" w:w="535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Nota de la actividad sobre 500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Nota académica sobre 5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Criterios en N3 o superior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Criterios por debajo de N3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Observaciones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</w:tbl>
    <w:p>
      <w:pPr>
        <w:pStyle w:val="Heading1"/>
        <w:spacing w:before="120" w:after="60"/>
      </w:pPr>
      <w:r>
        <w:rPr>
          <w:color w:val="1F4E78"/>
        </w:rPr>
        <w:t>7. Uso posterior en la nota del corte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535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Código de actividad o componente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PROY2</w:t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Peso dentro de Nota completa de la actividad Proyecto 2 (Segundo corte)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100%</w:t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Nota producida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Nota de PROY2 sobre 5</w:t>
            </w:r>
          </w:p>
        </w:tc>
      </w:tr>
    </w:tbl>
    <w:p>
      <w:r>
        <w:rPr>
          <w:b/>
        </w:rPr>
        <w:t xml:space="preserve">Fórmula aprobada: </w:t>
      </w:r>
      <w:r>
        <w:t>Nota Actividad = 0,50 C1 + 0,50 C2 (-0.5 por cada 2% debajo de 98% accuracy en test)</w:t>
      </w:r>
    </w:p>
    <w:p>
      <w:r>
        <w:t>Este instrumento entrega la nota de la actividad. El consolidado docente integra todas las fuentes del corte y prepara el registro oficial en Univex.</w:t>
      </w:r>
    </w:p>
    <w:p>
      <w:pPr>
        <w:pStyle w:val="Heading1"/>
        <w:spacing w:before="120" w:after="60"/>
      </w:pPr>
      <w:r>
        <w:rPr>
          <w:color w:val="1F4E78"/>
        </w:rPr>
        <w:t>8. Consolidación ABET — cohorte</w:t>
      </w:r>
    </w:p>
    <w:p>
      <w:r>
        <w:t>La nota académica no se interpreta como un nivel ABET global. Consolidar cada indicador por separado y usar sólo estudiantes evaluables en el denominador.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85"/>
        <w:gridCol w:w="1785"/>
        <w:gridCol w:w="1785"/>
        <w:gridCol w:w="1785"/>
        <w:gridCol w:w="1785"/>
        <w:gridCol w:w="1785"/>
      </w:tblGrid>
      <w:tr>
        <w:tc>
          <w:tcPr>
            <w:tcW w:type="dxa" w:w="178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178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 evaluable</w:t>
            </w:r>
          </w:p>
        </w:tc>
        <w:tc>
          <w:tcPr>
            <w:tcW w:type="dxa" w:w="178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 ≥ umbral</w:t>
            </w:r>
          </w:p>
        </w:tc>
        <w:tc>
          <w:tcPr>
            <w:tcW w:type="dxa" w:w="178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Logro %</w:t>
            </w:r>
          </w:p>
        </w:tc>
        <w:tc>
          <w:tcPr>
            <w:tcW w:type="dxa" w:w="178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Meta %</w:t>
            </w:r>
          </w:p>
        </w:tc>
        <w:tc>
          <w:tcPr>
            <w:tcW w:type="dxa" w:w="178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Hallazgo</w:t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C1 / SO1 — RAE-140: Hacer uso de técnicas de aprendizaje automático para optimizar el desempeño de un sistema mecatrónico. (umbral N3)</w:t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70%</w:t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C2 / SO6 — RAE-144: Realizar inferencias sobre el desempeño de un algoritmo en la solución de un problema a partir del desarrollo de pruebas y aplicación de métricas apropiadas. (umbral N3)</w:t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70%</w:t>
            </w:r>
          </w:p>
        </w:tc>
        <w:tc>
          <w:tcPr>
            <w:tcW w:type="dxa" w:w="178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</w:tbl>
    <w:p>
      <w:pPr>
        <w:pStyle w:val="Heading1"/>
        <w:spacing w:before="120" w:after="60"/>
      </w:pPr>
      <w:r>
        <w:rPr>
          <w:color w:val="1F4E78"/>
        </w:rPr>
        <w:t>9. Evaluación y mejora continua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Campo de cierre de ciclo</w:t>
            </w:r>
          </w:p>
        </w:tc>
        <w:tc>
          <w:tcPr>
            <w:tcW w:type="dxa" w:w="535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Indicador y hallazgo interpretado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Decisión derivada del hallazgo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Acción de mejora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Responsable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Fecha prevista de seguimiento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Evidencia de seguimiento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Resultado observado en el segundo ciclo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</w:tbl>
    <w:p>
      <w:pPr>
        <w:pStyle w:val="Heading1"/>
        <w:spacing w:before="120" w:after="60"/>
      </w:pPr>
      <w:r>
        <w:rPr>
          <w:color w:val="1F4E78"/>
        </w:rPr>
        <w:t>10. Cierre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35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Nombre de quien evalúa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Fecha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Versión aplicada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Ubicación del archivo maestro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Revisión o segundo evaluador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>Observaciones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spacing w:before="120" w:after="60"/>
      </w:pPr>
      <w:r>
        <w:rPr>
          <w:color w:val="1F4E78"/>
        </w:rPr>
        <w:t xml:space="preserve">Anexo A. Síntesis técnica (diligenciada por el estudiante)</w:t>
      </w:r>
    </w:p>
    <w:p>
      <w:pPr>
        <w:pStyle w:val="Heading2"/>
        <w:spacing w:before="120" w:after="60"/>
      </w:pPr>
      <w:r>
        <w:rPr>
          <w:color w:val="1F4E78"/>
        </w:rPr>
        <w:t xml:space="preserve">A.1. Qué se entrega</w:t>
      </w:r>
    </w:p>
    <w:p>
      <w:r>
        <w:t xml:space="preserve">Un clasificador barco / no barco para recortes RGB de 80×80 y una interfaz en Streamlit para la prueba en vivo. El modelo es una ResNet18-D preentrenada en ImageNet y ajustada con ShipsNet y con imágenes de otros puertos; corre con ONNX Runtime sobre CPU, sin GPU. El código, el modelo y el informe técnico (docs/informe_tecnico.md) están en el repositorio de la sección 1.</w:t>
      </w:r>
    </w:p>
    <w:p>
      <w:pPr>
        <w:pStyle w:val="Heading2"/>
        <w:spacing w:before="120" w:after="60"/>
      </w:pPr>
      <w:r>
        <w:rPr>
          <w:color w:val="1F4E78"/>
        </w:rPr>
        <w:t xml:space="preserve">A.2. Optimización del clasificador (C1, evidencias E1 y E2)</w:t>
      </w:r>
    </w:p>
    <w:p>
      <w:r>
        <w:t xml:space="preserve">El punto de partida fue una línea base de píxeles con regresión logística: 93.0 % de accuracy en validación cruzada estratificada de 5 folds. Los descriptores HOG, LBP y de color con un SVM de kernel RBF, calibrado con una búsqueda en malla de C y γ, subieron a 98.9 %, y a 99.3 % cuando el análisis de sensibilidad mostró que el HOG funciona mejor con celdas de 16 px. Una CNN diseñada para 80×80 no pasó de 98.9 %, con o sin aumento de datos. El salto vino de la transferencia desde ImageNet: la ResNet18-D ajustada llega a 99.9 % promediando 8 orientaciones, mientras que la misma red entrenada desde cero queda en 97.9 %.</w:t>
      </w:r>
    </w:p>
    <w:p>
      <w:r>
        <w:t xml:space="preserve">La prueba externa con imágenes del puerto de Rotterdam (SpaceNet 6) mostró un problema que la validación cruzada no dejaba ver: entrenado solo con ShipsNet, el modelo reconocía el 12 % de los barcos, porque había aprendido cómo se ve un barco en imágenes Planet de 3 m. Con 1528 recortes de siete puertos del programa Maxar Open Data en el entrenamiento, Rotterdam subió a 94.0 % de accuracy y 88.1 % de recall, sin perder nada en ShipsNet (99.88 %). El informe incluye además la sensibilidad a C, γ y a los parámetros del HOG, la robustez ante desenfoque, ruido, brillo, resolución, compresión y zoom, y el costo de inferencia: 6 ms por imagen en un solo hilo de CPU (45 ms con las 8 orientaciones) y un modelo de 45 MB.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Configuración</w:t>
            </w:r>
          </w:p>
        </w:tc>
        <w:tc>
          <w:tcPr>
            <w:tcW w:type="dxa" w:w="5355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Accuracy (validación cruzada, 5 folds)</w:t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 xml:space="preserve">Línea base: píxeles + regresión logística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 xml:space="preserve">93.00 %</w:t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 xml:space="preserve">HOG + color + LBP + SVM (malla de C y γ)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 xml:space="preserve">98.90 %</w:t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 xml:space="preserve">HOG con celdas de 16 px + color + LBP + SVM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 xml:space="preserve">99.32 %</w:t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 xml:space="preserve">CNN propia sin aumento de datos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 xml:space="preserve">98.92 %</w:t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 xml:space="preserve">ResNet18-D desde cero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 xml:space="preserve">97.93 %</w:t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 xml:space="preserve">ResNet18-D preentrenada en ImageNet, con TTA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 xml:space="preserve">99.88 %</w:t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 xml:space="preserve">Modelo final: ResNet18-D + puertos Maxar, con TTA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 xml:space="preserve">99.88 %</w:t>
            </w:r>
          </w:p>
        </w:tc>
      </w:tr>
      <w:tr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 xml:space="preserve">Modelo final en Rotterdam (prueba externa)</w:t>
            </w:r>
          </w:p>
        </w:tc>
        <w:tc>
          <w:tcPr>
            <w:tcW w:type="dxa" w:w="5355"/>
            <w:vAlign w:val="center"/>
          </w:tcPr>
          <w:p>
            <w:pPr>
              <w:spacing w:after="0"/>
            </w:pPr>
            <w:r>
              <w:rPr>
                <w:b w:val="0"/>
                <w:sz w:val="16"/>
              </w:rPr>
              <w:t xml:space="preserve">94.0 %</w:t>
            </w:r>
          </w:p>
        </w:tc>
      </w:tr>
    </w:tbl>
    <w:p>
      <w:r>
        <w:t xml:space="preserve"/>
      </w:r>
    </w:p>
    <w:p>
      <w:pPr>
        <w:pStyle w:val="Heading2"/>
        <w:spacing w:before="120" w:after="60"/>
      </w:pPr>
      <w:r>
        <w:rPr>
          <w:color w:val="1F4E78"/>
        </w:rPr>
        <w:t xml:space="preserve">A.3. Evaluación en vivo (C2, evidencias E3 y E4)</w:t>
      </w:r>
    </w:p>
    <w:p>
      <w:r>
        <w:t xml:space="preserve">La interfaz carga la carpeta de prueba, clasifica todas las imágenes y deja etiquetarlas una por una sin mostrar antes la predicción. Con cada etiqueta se recalculan el accuracy (con intervalo de confianza de Wilson al 95 %), la precisión, el recall, el F1, la matriz de confusión y la curva de accuracy acumulado. Una tabla pone al lado los valores de la validación cruzada del modelo final (99.88 % de accuracy) y la interfaz indica si ese valor cae dentro del intervalo de la prueba en vivo. Los resultados se guardan en CSV y JSON.</w:t>
      </w:r>
    </w:p>
    <w:p>
      <w:pPr>
        <w:pStyle w:val="Heading2"/>
        <w:spacing w:before="120" w:after="60"/>
      </w:pPr>
      <w:r>
        <w:rPr>
          <w:color w:val="1F4E78"/>
        </w:rPr>
        <w:t xml:space="preserve">A.4. Riesgo identificado</w:t>
      </w:r>
    </w:p>
    <w:p>
      <w:r>
        <w:t xml:space="preserve">El criterio de etiquetado. En ShipsNet solo cuenta como barco un buque completo y centrado; uno cortado por el borde es «no barco». Si en la prueba se usa otro criterio, las diferencias se van a concentrar en esos casos.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65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4"/>
      </w:rPr>
      <w:t>Formato de entrega, evidencias, calificación y assessment — conservar conforme a la política institucional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4E78"/>
        <w:sz w:val="16"/>
      </w:rPr>
      <w:t>Ingeniería Mecatrónica  |  Inteligencia Artificial  |  ABET-IA-PROY2-2026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