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siness-insights-report"/>
    <w:p>
      <w:pPr>
        <w:pStyle w:val="Heading1"/>
      </w:pPr>
      <w:r>
        <w:t xml:space="preserve">Business Insights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comprehensive business intelligence analysis was performed on historical retail sales data to evaluate revenue growth, profitability, product performance, and regional trends. The analysis leveraged a MySQL data warehouse, SQL analytics, and interactive Power BI dashboards to identify key business drivers and improvement opportunities.</w:t>
      </w:r>
    </w:p>
    <w:p>
      <w:pPr>
        <w:pStyle w:val="BodyText"/>
      </w:pPr>
      <w:r>
        <w:t xml:space="preserve">During the analysis period, the business generated approximately $2.29 million in total sales and $284.15 thousand in total profit, resulting in an overall profit margin of 12.01%. A total of 5,003 orders were processed across 793 customers, with an average order value of $457.38.</w:t>
      </w:r>
    </w:p>
    <w:p>
      <w:pPr>
        <w:pStyle w:val="BodyText"/>
      </w:pPr>
      <w:r>
        <w:t xml:space="preserve">The analysis revealed that Technology was the highest-performing product category, while the West region consistently delivered the strongest sales and profit performance. Revenue demonstrated a positive long-term growth trend with noticeable seasonal fluctuations and stronger year-end demand.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venue-insights"/>
    <w:p>
      <w:pPr>
        <w:pStyle w:val="Heading1"/>
      </w:pPr>
      <w:r>
        <w:t xml:space="preserve">Revenue Insights</w:t>
      </w:r>
    </w:p>
    <w:p>
      <w:pPr>
        <w:pStyle w:val="Compact"/>
        <w:numPr>
          <w:ilvl w:val="0"/>
          <w:numId w:val="1001"/>
        </w:numPr>
      </w:pPr>
      <w:r>
        <w:t xml:space="preserve">Total revenue reached approximately $2.29 million during the analysis period.</w:t>
      </w:r>
    </w:p>
    <w:p>
      <w:pPr>
        <w:pStyle w:val="Compact"/>
        <w:numPr>
          <w:ilvl w:val="0"/>
          <w:numId w:val="1001"/>
        </w:numPr>
      </w:pPr>
      <w:r>
        <w:t xml:space="preserve">Sales performance exhibited a generally upward trend from 2015 to 2018, indicating sustained business growth.</w:t>
      </w:r>
    </w:p>
    <w:p>
      <w:pPr>
        <w:pStyle w:val="Compact"/>
        <w:numPr>
          <w:ilvl w:val="0"/>
          <w:numId w:val="1001"/>
        </w:numPr>
      </w:pPr>
      <w:r>
        <w:t xml:space="preserve">Revenue growth accelerated during later periods of the analysis, suggesting increased market demand and business expansion.</w:t>
      </w:r>
    </w:p>
    <w:p>
      <w:pPr>
        <w:pStyle w:val="Compact"/>
        <w:numPr>
          <w:ilvl w:val="0"/>
          <w:numId w:val="1001"/>
        </w:numPr>
      </w:pPr>
      <w:r>
        <w:t xml:space="preserve">The West region generated the highest revenue contribution, followed by the East region.</w:t>
      </w:r>
    </w:p>
    <w:p>
      <w:pPr>
        <w:pStyle w:val="Compact"/>
        <w:numPr>
          <w:ilvl w:val="0"/>
          <w:numId w:val="1001"/>
        </w:numPr>
      </w:pPr>
      <w:r>
        <w:t xml:space="preserve">Revenue was concentrated within a relatively small number of high-performing states and metropolitan markets.</w:t>
      </w:r>
    </w:p>
    <w:p>
      <w:pPr>
        <w:pStyle w:val="Compact"/>
        <w:numPr>
          <w:ilvl w:val="0"/>
          <w:numId w:val="1001"/>
        </w:numPr>
      </w:pPr>
      <w:r>
        <w:t xml:space="preserve">Technology products generated the highest category-level revenue, contributing approximately $834.55 thousand in sales.</w:t>
      </w:r>
    </w:p>
    <w:p>
      <w:pPr>
        <w:pStyle w:val="Compact"/>
        <w:numPr>
          <w:ilvl w:val="0"/>
          <w:numId w:val="1001"/>
        </w:numPr>
      </w:pPr>
      <w:r>
        <w:t xml:space="preserve">Monthly sales trends indicate stronger revenue generation during year-end periods compared to the beginning of the year.</w:t>
      </w:r>
    </w:p>
    <w:p>
      <w:r>
        <w:pict>
          <v:rect style="width:0;height:1.5pt" o:hralign="center" o:hrstd="t" o:hr="t"/>
        </w:pict>
      </w:r>
    </w:p>
    <w:bookmarkEnd w:id="22"/>
    <w:bookmarkStart w:id="23" w:name="profit-insights"/>
    <w:p>
      <w:pPr>
        <w:pStyle w:val="Heading1"/>
      </w:pPr>
      <w:r>
        <w:t xml:space="preserve">Profit Insights</w:t>
      </w:r>
    </w:p>
    <w:p>
      <w:pPr>
        <w:pStyle w:val="Compact"/>
        <w:numPr>
          <w:ilvl w:val="0"/>
          <w:numId w:val="1002"/>
        </w:numPr>
      </w:pPr>
      <w:r>
        <w:t xml:space="preserve">Total profit reached approximately $284.15 thousand.</w:t>
      </w:r>
    </w:p>
    <w:p>
      <w:pPr>
        <w:pStyle w:val="Compact"/>
        <w:numPr>
          <w:ilvl w:val="0"/>
          <w:numId w:val="1002"/>
        </w:numPr>
      </w:pPr>
      <w:r>
        <w:t xml:space="preserve">The business maintained an overall profit margin of 12.01%, reflecting healthy profitability.</w:t>
      </w:r>
    </w:p>
    <w:p>
      <w:pPr>
        <w:pStyle w:val="Compact"/>
        <w:numPr>
          <w:ilvl w:val="0"/>
          <w:numId w:val="1002"/>
        </w:numPr>
      </w:pPr>
      <w:r>
        <w:t xml:space="preserve">Profit growth closely followed sales growth, indicating that increased revenue translated into improved earnings.</w:t>
      </w:r>
    </w:p>
    <w:p>
      <w:pPr>
        <w:pStyle w:val="Compact"/>
        <w:numPr>
          <w:ilvl w:val="0"/>
          <w:numId w:val="1002"/>
        </w:numPr>
      </w:pPr>
      <w:r>
        <w:t xml:space="preserve">Technology generated the highest overall profit contribution.</w:t>
      </w:r>
    </w:p>
    <w:p>
      <w:pPr>
        <w:pStyle w:val="Compact"/>
        <w:numPr>
          <w:ilvl w:val="0"/>
          <w:numId w:val="1002"/>
        </w:numPr>
      </w:pPr>
      <w:r>
        <w:t xml:space="preserve">Office Supplies delivered strong profitability despite generating lower revenue than Furniture.</w:t>
      </w:r>
    </w:p>
    <w:p>
      <w:pPr>
        <w:pStyle w:val="Compact"/>
        <w:numPr>
          <w:ilvl w:val="0"/>
          <w:numId w:val="1002"/>
        </w:numPr>
      </w:pPr>
      <w:r>
        <w:t xml:space="preserve">Furniture contributed significant sales volume but comparatively low profit, suggesting lower margins and potential cost optimization opportunities.</w:t>
      </w:r>
    </w:p>
    <w:p>
      <w:pPr>
        <w:pStyle w:val="Compact"/>
        <w:numPr>
          <w:ilvl w:val="0"/>
          <w:numId w:val="1002"/>
        </w:numPr>
      </w:pPr>
      <w:r>
        <w:t xml:space="preserve">Regional profitability was strongest within the West and East regions.</w:t>
      </w:r>
    </w:p>
    <w:p>
      <w:r>
        <w:pict>
          <v:rect style="width:0;height:1.5pt" o:hralign="center" o:hrstd="t" o:hr="t"/>
        </w:pict>
      </w:r>
    </w:p>
    <w:bookmarkEnd w:id="23"/>
    <w:bookmarkStart w:id="28" w:name="regional-insights"/>
    <w:p>
      <w:pPr>
        <w:pStyle w:val="Heading1"/>
      </w:pPr>
      <w:r>
        <w:t xml:space="preserve">Regional Insights</w:t>
      </w:r>
    </w:p>
    <w:bookmarkStart w:id="25" w:name="regional-performance"/>
    <w:p>
      <w:pPr>
        <w:pStyle w:val="Heading2"/>
      </w:pPr>
      <w:r>
        <w:t xml:space="preserve">Regional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Sales Performance</w:t>
            </w:r>
          </w:p>
        </w:tc>
        <w:tc>
          <w:tcPr/>
          <w:p>
            <w:pPr>
              <w:pStyle w:val="Compact"/>
            </w:pPr>
            <w:r>
              <w:t xml:space="preserve">Profit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</w:t>
            </w:r>
          </w:p>
        </w:tc>
        <w:tc>
          <w:tcPr/>
          <w:p>
            <w:pPr>
              <w:pStyle w:val="Compact"/>
            </w:pPr>
            <w:r>
              <w:t xml:space="preserve">Second Highest</w:t>
            </w:r>
          </w:p>
        </w:tc>
        <w:tc>
          <w:tcPr/>
          <w:p>
            <w:pPr>
              <w:pStyle w:val="Compact"/>
            </w:pPr>
            <w:r>
              <w:t xml:space="preserve">Second 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Third Highest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Lowest Sales</w:t>
            </w:r>
          </w:p>
        </w:tc>
        <w:tc>
          <w:tcPr/>
          <w:p>
            <w:pPr>
              <w:pStyle w:val="Compact"/>
            </w:pPr>
            <w:r>
              <w:t xml:space="preserve">Third Highest Profit</w:t>
            </w:r>
          </w:p>
        </w:tc>
      </w:tr>
    </w:tbl>
    <w:bookmarkStart w:id="24" w:name="key-observations"/>
    <w:p>
      <w:pPr>
        <w:pStyle w:val="Heading3"/>
      </w:pPr>
      <w:r>
        <w:t xml:space="preserve">Key Observations</w:t>
      </w:r>
    </w:p>
    <w:p>
      <w:pPr>
        <w:pStyle w:val="Compact"/>
        <w:numPr>
          <w:ilvl w:val="0"/>
          <w:numId w:val="1003"/>
        </w:numPr>
      </w:pPr>
      <w:r>
        <w:t xml:space="preserve">The West region emerged as the strongest-performing market in both revenue and profitability.</w:t>
      </w:r>
    </w:p>
    <w:p>
      <w:pPr>
        <w:pStyle w:val="Compact"/>
        <w:numPr>
          <w:ilvl w:val="0"/>
          <w:numId w:val="1003"/>
        </w:numPr>
      </w:pPr>
      <w:r>
        <w:t xml:space="preserve">The East region also generated substantial business value and remains a major revenue contributor.</w:t>
      </w:r>
    </w:p>
    <w:p>
      <w:pPr>
        <w:pStyle w:val="Compact"/>
        <w:numPr>
          <w:ilvl w:val="0"/>
          <w:numId w:val="1003"/>
        </w:numPr>
      </w:pPr>
      <w:r>
        <w:t xml:space="preserve">The South region produced relatively lower sales volumes but maintained stronger profitability than the Central region.</w:t>
      </w:r>
    </w:p>
    <w:p>
      <w:pPr>
        <w:pStyle w:val="Compact"/>
        <w:numPr>
          <w:ilvl w:val="0"/>
          <w:numId w:val="1003"/>
        </w:numPr>
      </w:pPr>
      <w:r>
        <w:t xml:space="preserve">The Central region generated meaningful revenue but delivered the lowest profit performance, indicating potential margin inefficiencies.</w:t>
      </w:r>
    </w:p>
    <w:bookmarkEnd w:id="24"/>
    <w:bookmarkEnd w:id="25"/>
    <w:bookmarkStart w:id="26" w:name="state-performance"/>
    <w:p>
      <w:pPr>
        <w:pStyle w:val="Heading2"/>
      </w:pPr>
      <w:r>
        <w:t xml:space="preserve">State Performance</w:t>
      </w:r>
    </w:p>
    <w:p>
      <w:pPr>
        <w:pStyle w:val="FirstParagraph"/>
      </w:pPr>
      <w:r>
        <w:t xml:space="preserve">Top-performing states by sales included:</w:t>
      </w:r>
    </w:p>
    <w:p>
      <w:pPr>
        <w:pStyle w:val="Compact"/>
        <w:numPr>
          <w:ilvl w:val="0"/>
          <w:numId w:val="1004"/>
        </w:numPr>
      </w:pPr>
      <w:r>
        <w:t xml:space="preserve">California</w:t>
      </w:r>
    </w:p>
    <w:p>
      <w:pPr>
        <w:pStyle w:val="Compact"/>
        <w:numPr>
          <w:ilvl w:val="0"/>
          <w:numId w:val="1004"/>
        </w:numPr>
      </w:pPr>
      <w:r>
        <w:t xml:space="preserve">New York</w:t>
      </w:r>
    </w:p>
    <w:p>
      <w:pPr>
        <w:pStyle w:val="Compact"/>
        <w:numPr>
          <w:ilvl w:val="0"/>
          <w:numId w:val="1004"/>
        </w:numPr>
      </w:pPr>
      <w:r>
        <w:t xml:space="preserve">Texas</w:t>
      </w:r>
    </w:p>
    <w:p>
      <w:pPr>
        <w:pStyle w:val="Compact"/>
        <w:numPr>
          <w:ilvl w:val="0"/>
          <w:numId w:val="1004"/>
        </w:numPr>
      </w:pPr>
      <w:r>
        <w:t xml:space="preserve">Washington</w:t>
      </w:r>
    </w:p>
    <w:p>
      <w:pPr>
        <w:pStyle w:val="Compact"/>
        <w:numPr>
          <w:ilvl w:val="0"/>
          <w:numId w:val="1004"/>
        </w:numPr>
      </w:pPr>
      <w:r>
        <w:t xml:space="preserve">Pennsylvania</w:t>
      </w:r>
    </w:p>
    <w:p>
      <w:pPr>
        <w:pStyle w:val="FirstParagraph"/>
      </w:pPr>
      <w:r>
        <w:t xml:space="preserve">California and New York represented the most valuable geographic markets and served as primary revenue drivers.</w:t>
      </w:r>
    </w:p>
    <w:bookmarkEnd w:id="26"/>
    <w:bookmarkStart w:id="27" w:name="city-performance"/>
    <w:p>
      <w:pPr>
        <w:pStyle w:val="Heading2"/>
      </w:pPr>
      <w:r>
        <w:t xml:space="preserve">City Performance</w:t>
      </w:r>
    </w:p>
    <w:p>
      <w:pPr>
        <w:pStyle w:val="FirstParagraph"/>
      </w:pPr>
      <w:r>
        <w:t xml:space="preserve">Top-performing cities included:</w:t>
      </w:r>
    </w:p>
    <w:p>
      <w:pPr>
        <w:pStyle w:val="Compact"/>
        <w:numPr>
          <w:ilvl w:val="0"/>
          <w:numId w:val="1005"/>
        </w:numPr>
      </w:pPr>
      <w:r>
        <w:t xml:space="preserve">New York City</w:t>
      </w:r>
    </w:p>
    <w:p>
      <w:pPr>
        <w:pStyle w:val="Compact"/>
        <w:numPr>
          <w:ilvl w:val="0"/>
          <w:numId w:val="1005"/>
        </w:numPr>
      </w:pPr>
      <w:r>
        <w:t xml:space="preserve">Los Angeles</w:t>
      </w:r>
    </w:p>
    <w:p>
      <w:pPr>
        <w:pStyle w:val="Compact"/>
        <w:numPr>
          <w:ilvl w:val="0"/>
          <w:numId w:val="1005"/>
        </w:numPr>
      </w:pPr>
      <w:r>
        <w:t xml:space="preserve">Seattle</w:t>
      </w:r>
    </w:p>
    <w:p>
      <w:pPr>
        <w:pStyle w:val="Compact"/>
        <w:numPr>
          <w:ilvl w:val="0"/>
          <w:numId w:val="1005"/>
        </w:numPr>
      </w:pPr>
      <w:r>
        <w:t xml:space="preserve">San Francisco</w:t>
      </w:r>
    </w:p>
    <w:p>
      <w:pPr>
        <w:pStyle w:val="Compact"/>
        <w:numPr>
          <w:ilvl w:val="0"/>
          <w:numId w:val="1005"/>
        </w:numPr>
      </w:pPr>
      <w:r>
        <w:t xml:space="preserve">Philadelphia</w:t>
      </w:r>
    </w:p>
    <w:p>
      <w:pPr>
        <w:pStyle w:val="FirstParagraph"/>
      </w:pPr>
      <w:r>
        <w:t xml:space="preserve">These metropolitan areas contributed a significant share of total revenue and represent strategic markets for future growth initiatives.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ategory-insights"/>
    <w:p>
      <w:pPr>
        <w:pStyle w:val="Heading1"/>
      </w:pPr>
      <w:r>
        <w:t xml:space="preserve">Category Insights</w:t>
      </w:r>
    </w:p>
    <w:bookmarkStart w:id="29" w:name="sales-by-category"/>
    <w:p>
      <w:pPr>
        <w:pStyle w:val="Heading2"/>
      </w:pPr>
      <w:r>
        <w:t xml:space="preserve">Sales by Category</w:t>
      </w:r>
    </w:p>
    <w:p>
      <w:pPr>
        <w:pStyle w:val="Compact"/>
        <w:numPr>
          <w:ilvl w:val="0"/>
          <w:numId w:val="1006"/>
        </w:numPr>
      </w:pPr>
      <w:r>
        <w:t xml:space="preserve">Technology — $834.55K</w:t>
      </w:r>
    </w:p>
    <w:p>
      <w:pPr>
        <w:pStyle w:val="Compact"/>
        <w:numPr>
          <w:ilvl w:val="0"/>
          <w:numId w:val="1006"/>
        </w:numPr>
      </w:pPr>
      <w:r>
        <w:t xml:space="preserve">Furniture — $736.88K</w:t>
      </w:r>
    </w:p>
    <w:p>
      <w:pPr>
        <w:pStyle w:val="Compact"/>
        <w:numPr>
          <w:ilvl w:val="0"/>
          <w:numId w:val="1006"/>
        </w:numPr>
      </w:pPr>
      <w:r>
        <w:t xml:space="preserve">Office Supplies — $716.84K</w:t>
      </w:r>
    </w:p>
    <w:bookmarkEnd w:id="29"/>
    <w:bookmarkStart w:id="31" w:name="profit-by-category"/>
    <w:p>
      <w:pPr>
        <w:pStyle w:val="Heading2"/>
      </w:pPr>
      <w:r>
        <w:t xml:space="preserve">Profit by Category</w:t>
      </w:r>
    </w:p>
    <w:p>
      <w:pPr>
        <w:pStyle w:val="Compact"/>
        <w:numPr>
          <w:ilvl w:val="0"/>
          <w:numId w:val="1007"/>
        </w:numPr>
      </w:pPr>
      <w:r>
        <w:t xml:space="preserve">Technology — $145.01K</w:t>
      </w:r>
    </w:p>
    <w:p>
      <w:pPr>
        <w:pStyle w:val="Compact"/>
        <w:numPr>
          <w:ilvl w:val="0"/>
          <w:numId w:val="1007"/>
        </w:numPr>
      </w:pPr>
      <w:r>
        <w:t xml:space="preserve">Office Supplies — $121.89K</w:t>
      </w:r>
    </w:p>
    <w:p>
      <w:pPr>
        <w:pStyle w:val="Compact"/>
        <w:numPr>
          <w:ilvl w:val="0"/>
          <w:numId w:val="1007"/>
        </w:numPr>
      </w:pPr>
      <w:r>
        <w:t xml:space="preserve">Furniture — $17.26K</w:t>
      </w:r>
    </w:p>
    <w:bookmarkStart w:id="30" w:name="key-observations-1"/>
    <w:p>
      <w:pPr>
        <w:pStyle w:val="Heading3"/>
      </w:pPr>
      <w:r>
        <w:t xml:space="preserve">Key Observations</w:t>
      </w:r>
    </w:p>
    <w:p>
      <w:pPr>
        <w:pStyle w:val="Compact"/>
        <w:numPr>
          <w:ilvl w:val="0"/>
          <w:numId w:val="1008"/>
        </w:numPr>
      </w:pPr>
      <w:r>
        <w:t xml:space="preserve">Technology was the strongest-performing category in both revenue and profitability.</w:t>
      </w:r>
    </w:p>
    <w:p>
      <w:pPr>
        <w:pStyle w:val="Compact"/>
        <w:numPr>
          <w:ilvl w:val="0"/>
          <w:numId w:val="1008"/>
        </w:numPr>
      </w:pPr>
      <w:r>
        <w:t xml:space="preserve">Office Supplies generated strong profit despite producing lower revenue than Furniture.</w:t>
      </w:r>
    </w:p>
    <w:p>
      <w:pPr>
        <w:pStyle w:val="Compact"/>
        <w:numPr>
          <w:ilvl w:val="0"/>
          <w:numId w:val="1008"/>
        </w:numPr>
      </w:pPr>
      <w:r>
        <w:t xml:space="preserve">Furniture generated substantial sales but comparatively low profit, indicating weaker margins.</w:t>
      </w:r>
    </w:p>
    <w:p>
      <w:pPr>
        <w:pStyle w:val="Compact"/>
        <w:numPr>
          <w:ilvl w:val="0"/>
          <w:numId w:val="1008"/>
        </w:numPr>
      </w:pPr>
      <w:r>
        <w:t xml:space="preserve">Category profitability varied significantly, highlighting the importance of category-level performance monitoring.</w:t>
      </w:r>
    </w:p>
    <w:p>
      <w:pPr>
        <w:pStyle w:val="Compact"/>
        <w:numPr>
          <w:ilvl w:val="0"/>
          <w:numId w:val="1008"/>
        </w:numPr>
      </w:pPr>
      <w:r>
        <w:t xml:space="preserve">Profitability analysis suggests that revenue alone should not be used as the sole measure of category performance.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product-performance-insights"/>
    <w:p>
      <w:pPr>
        <w:pStyle w:val="Heading1"/>
      </w:pPr>
      <w:r>
        <w:t xml:space="preserve">Product Performance Insights</w:t>
      </w:r>
    </w:p>
    <w:bookmarkStart w:id="33" w:name="high-performing-products"/>
    <w:p>
      <w:pPr>
        <w:pStyle w:val="Heading2"/>
      </w:pPr>
      <w:r>
        <w:t xml:space="preserve">High-Performing Products</w:t>
      </w:r>
    </w:p>
    <w:p>
      <w:pPr>
        <w:pStyle w:val="FirstParagraph"/>
      </w:pPr>
      <w:r>
        <w:t xml:space="preserve">The highest-performing products generated substantial revenue and profit contributions and played a critical role in overall business success.</w:t>
      </w:r>
    </w:p>
    <w:p>
      <w:pPr>
        <w:pStyle w:val="BodyText"/>
      </w:pPr>
      <w:r>
        <w:t xml:space="preserve">Notable products included:</w:t>
      </w:r>
    </w:p>
    <w:p>
      <w:pPr>
        <w:pStyle w:val="Compact"/>
        <w:numPr>
          <w:ilvl w:val="0"/>
          <w:numId w:val="1009"/>
        </w:numPr>
      </w:pPr>
      <w:r>
        <w:t xml:space="preserve">Canon imageCLASS 2200 Advanced Copier</w:t>
      </w:r>
    </w:p>
    <w:p>
      <w:pPr>
        <w:pStyle w:val="Compact"/>
        <w:numPr>
          <w:ilvl w:val="0"/>
          <w:numId w:val="1009"/>
        </w:numPr>
      </w:pPr>
      <w:r>
        <w:t xml:space="preserve">Fellowes PB500 Electric Punch Plastic Comb Binding Machine</w:t>
      </w:r>
    </w:p>
    <w:p>
      <w:pPr>
        <w:pStyle w:val="Compact"/>
        <w:numPr>
          <w:ilvl w:val="0"/>
          <w:numId w:val="1009"/>
        </w:numPr>
      </w:pPr>
      <w:r>
        <w:t xml:space="preserve">Hewlett Packard LaserJet 3310 Copier</w:t>
      </w:r>
    </w:p>
    <w:p>
      <w:pPr>
        <w:pStyle w:val="Compact"/>
        <w:numPr>
          <w:ilvl w:val="0"/>
          <w:numId w:val="1009"/>
        </w:numPr>
      </w:pPr>
      <w:r>
        <w:t xml:space="preserve">Canon PC1060 Personal Laser Copier</w:t>
      </w:r>
    </w:p>
    <w:p>
      <w:pPr>
        <w:pStyle w:val="Compact"/>
        <w:numPr>
          <w:ilvl w:val="0"/>
          <w:numId w:val="1009"/>
        </w:numPr>
      </w:pPr>
      <w:r>
        <w:t xml:space="preserve">Logitech G19 Programmable Gaming Keyboard</w:t>
      </w:r>
    </w:p>
    <w:p>
      <w:pPr>
        <w:pStyle w:val="FirstParagraph"/>
      </w:pPr>
      <w:r>
        <w:t xml:space="preserve">These products represent high-value offerings and should remain key focus areas for inventory planning and promotional strategies.</w:t>
      </w:r>
    </w:p>
    <w:bookmarkEnd w:id="33"/>
    <w:bookmarkStart w:id="35" w:name="underperforming-products"/>
    <w:p>
      <w:pPr>
        <w:pStyle w:val="Heading2"/>
      </w:pPr>
      <w:r>
        <w:t xml:space="preserve">Underperforming Products</w:t>
      </w:r>
    </w:p>
    <w:p>
      <w:pPr>
        <w:pStyle w:val="FirstParagraph"/>
      </w:pPr>
      <w:r>
        <w:t xml:space="preserve">Analysis of low-performing products revealed several products with consistently weak sales contributions.</w:t>
      </w:r>
    </w:p>
    <w:bookmarkStart w:id="34" w:name="key-observations-2"/>
    <w:p>
      <w:pPr>
        <w:pStyle w:val="Heading3"/>
      </w:pPr>
      <w:r>
        <w:t xml:space="preserve">Key Observations</w:t>
      </w:r>
    </w:p>
    <w:p>
      <w:pPr>
        <w:pStyle w:val="Compact"/>
        <w:numPr>
          <w:ilvl w:val="0"/>
          <w:numId w:val="1010"/>
        </w:numPr>
      </w:pPr>
      <w:r>
        <w:t xml:space="preserve">A small number of products generated minimal revenue and business impact.</w:t>
      </w:r>
    </w:p>
    <w:p>
      <w:pPr>
        <w:pStyle w:val="Compact"/>
        <w:numPr>
          <w:ilvl w:val="0"/>
          <w:numId w:val="1010"/>
        </w:numPr>
      </w:pPr>
      <w:r>
        <w:t xml:space="preserve">Certain low-volume products may consume inventory and operational resources without generating meaningful returns.</w:t>
      </w:r>
    </w:p>
    <w:p>
      <w:pPr>
        <w:pStyle w:val="Compact"/>
        <w:numPr>
          <w:ilvl w:val="0"/>
          <w:numId w:val="1010"/>
        </w:numPr>
      </w:pPr>
      <w:r>
        <w:t xml:space="preserve">Product portfolio optimization may improve overall profitability and operational efficiency.</w:t>
      </w:r>
    </w:p>
    <w:p>
      <w:pPr>
        <w:pStyle w:val="Compact"/>
        <w:numPr>
          <w:ilvl w:val="0"/>
          <w:numId w:val="1010"/>
        </w:numPr>
      </w:pPr>
      <w:r>
        <w:t xml:space="preserve">Pricing reviews, targeted promotions, inventory adjustments, or product rationalization should be considered for persistently underperforming products.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8" w:name="seasonal-trend-analysis"/>
    <w:p>
      <w:pPr>
        <w:pStyle w:val="Heading1"/>
      </w:pPr>
      <w:r>
        <w:t xml:space="preserve">Seasonal Trend Analysis</w:t>
      </w:r>
    </w:p>
    <w:p>
      <w:pPr>
        <w:pStyle w:val="FirstParagraph"/>
      </w:pPr>
      <w:r>
        <w:t xml:space="preserve">Analysis of monthly sales patterns revealed clear seasonality across the business.</w:t>
      </w:r>
    </w:p>
    <w:bookmarkStart w:id="37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11"/>
        </w:numPr>
      </w:pPr>
      <w:r>
        <w:t xml:space="preserve">Sales activity generally increased during the latter part of the year.</w:t>
      </w:r>
    </w:p>
    <w:p>
      <w:pPr>
        <w:pStyle w:val="Compact"/>
        <w:numPr>
          <w:ilvl w:val="0"/>
          <w:numId w:val="1011"/>
        </w:numPr>
      </w:pPr>
      <w:r>
        <w:t xml:space="preserve">November emerged as the strongest-performing month across the analysis period.</w:t>
      </w:r>
    </w:p>
    <w:p>
      <w:pPr>
        <w:pStyle w:val="Compact"/>
        <w:numPr>
          <w:ilvl w:val="0"/>
          <w:numId w:val="1011"/>
        </w:numPr>
      </w:pPr>
      <w:r>
        <w:t xml:space="preserve">February consistently exhibited weaker sales performance.</w:t>
      </w:r>
    </w:p>
    <w:p>
      <w:pPr>
        <w:pStyle w:val="Compact"/>
        <w:numPr>
          <w:ilvl w:val="0"/>
          <w:numId w:val="1011"/>
        </w:numPr>
      </w:pPr>
      <w:r>
        <w:t xml:space="preserve">Fourth-quarter performance significantly outperformed first-quarter performance.</w:t>
      </w:r>
    </w:p>
    <w:p>
      <w:pPr>
        <w:pStyle w:val="Compact"/>
        <w:numPr>
          <w:ilvl w:val="0"/>
          <w:numId w:val="1011"/>
        </w:numPr>
      </w:pPr>
      <w:r>
        <w:t xml:space="preserve">Year-end periods benefited from increased purchasing activity and seasonal demand.</w:t>
      </w:r>
    </w:p>
    <w:p>
      <w:pPr>
        <w:pStyle w:val="FirstParagraph"/>
      </w:pPr>
      <w:r>
        <w:t xml:space="preserve">These findings create opportunities for proactive inventory planning, targeted promotions, and improved demand forecasting.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business-recommendations"/>
    <w:p>
      <w:pPr>
        <w:pStyle w:val="Heading1"/>
      </w:pPr>
      <w:r>
        <w:t xml:space="preserve">Business Recommendations</w:t>
      </w:r>
    </w:p>
    <w:bookmarkStart w:id="39" w:name="expand-technology-product-portfolio"/>
    <w:p>
      <w:pPr>
        <w:pStyle w:val="Heading2"/>
      </w:pPr>
      <w:r>
        <w:t xml:space="preserve">1. Expand Technology Product Portfolio</w:t>
      </w:r>
    </w:p>
    <w:p>
      <w:pPr>
        <w:pStyle w:val="FirstParagraph"/>
      </w:pPr>
      <w:r>
        <w:t xml:space="preserve">Technology generated the highest sales and profit contribution. Increasing inventory availability, marketing investment, and product expansion within this category may accelerate future growth.</w:t>
      </w:r>
    </w:p>
    <w:bookmarkEnd w:id="39"/>
    <w:bookmarkStart w:id="40" w:name="improve-furniture-profitability"/>
    <w:p>
      <w:pPr>
        <w:pStyle w:val="Heading2"/>
      </w:pPr>
      <w:r>
        <w:t xml:space="preserve">2. Improve Furniture Profitability</w:t>
      </w:r>
    </w:p>
    <w:p>
      <w:pPr>
        <w:pStyle w:val="FirstParagraph"/>
      </w:pPr>
      <w:r>
        <w:t xml:space="preserve">Although Furniture generated substantial revenue, profit margins remained relatively low. Management should review pricing strategies, supplier costs, and discounting practices to improve profitability.</w:t>
      </w:r>
    </w:p>
    <w:bookmarkEnd w:id="40"/>
    <w:bookmarkStart w:id="41" w:name="Xb4d91decc0c779dee72904d0290b18da5fb2c65"/>
    <w:p>
      <w:pPr>
        <w:pStyle w:val="Heading2"/>
      </w:pPr>
      <w:r>
        <w:t xml:space="preserve">3. Increase Investment in High-Performing Regions</w:t>
      </w:r>
    </w:p>
    <w:p>
      <w:pPr>
        <w:pStyle w:val="FirstParagraph"/>
      </w:pPr>
      <w:r>
        <w:t xml:space="preserve">The West and East regions consistently outperformed other geographic markets. Additional sales and marketing investments in these regions are likely to generate attractive returns.</w:t>
      </w:r>
    </w:p>
    <w:bookmarkEnd w:id="41"/>
    <w:bookmarkStart w:id="42" w:name="optimize-product-portfolio"/>
    <w:p>
      <w:pPr>
        <w:pStyle w:val="Heading2"/>
      </w:pPr>
      <w:r>
        <w:t xml:space="preserve">4. Optimize Product Portfolio</w:t>
      </w:r>
    </w:p>
    <w:p>
      <w:pPr>
        <w:pStyle w:val="FirstParagraph"/>
      </w:pPr>
      <w:r>
        <w:t xml:space="preserve">Low-performing products should be reviewed for repositioning, promotion, bundling opportunities, or discontinuation to improve portfolio efficiency.</w:t>
      </w:r>
    </w:p>
    <w:bookmarkEnd w:id="42"/>
    <w:bookmarkStart w:id="43" w:name="prepare-for-seasonal-demand-peaks"/>
    <w:p>
      <w:pPr>
        <w:pStyle w:val="Heading2"/>
      </w:pPr>
      <w:r>
        <w:t xml:space="preserve">5. Prepare for Seasonal Demand Peaks</w:t>
      </w:r>
    </w:p>
    <w:p>
      <w:pPr>
        <w:pStyle w:val="FirstParagraph"/>
      </w:pPr>
      <w:r>
        <w:t xml:space="preserve">Given the strong fourth-quarter sales performance, inventory planning and promotional campaigns should be aligned with expected year-end demand increases.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business demonstrated strong overall performance, generating approximately $2.29 million in sales and $284.15 thousand in profit while maintaining a healthy profit margin of 12.01%.</w:t>
      </w:r>
    </w:p>
    <w:p>
      <w:pPr>
        <w:pStyle w:val="BodyText"/>
      </w:pPr>
      <w:r>
        <w:t xml:space="preserve">Technology products, the West region, California, and major metropolitan markets emerged as the primary business growth drivers. While overall profitability remains strong, opportunities exist to improve category-level margins, optimize underperforming products, and capitalize on seasonal demand patterns.</w:t>
      </w:r>
    </w:p>
    <w:p>
      <w:pPr>
        <w:pStyle w:val="BodyText"/>
      </w:pPr>
      <w:r>
        <w:t xml:space="preserve">The developed Power BI dashboard enables data-driven decision-making by providing comprehensive visibility into revenue performance, profitability trends, product contribution, and regional business performance, supporting future strategic growth initiatives.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2026-06-12T20:02:52Z</dcterms:created>
  <dcterms:modified xsi:type="dcterms:W3CDTF">2026-06-12T20:02:52Z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