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Kỹ Thuật (SRS) - Hệ Thống GreenTech</w:t>
      </w:r>
    </w:p>
    <w:p>
      <w:pPr>
        <w:pStyle w:val="Heading1"/>
      </w:pPr>
      <w:r>
        <w:t>1. Tổng quan</w:t>
      </w:r>
    </w:p>
    <w:p>
      <w:r>
        <w:t>Nội dung tổng quan kiến trúc 4 trụ cột và quy trình xử lý...</w:t>
      </w:r>
    </w:p>
    <w:p>
      <w:pPr>
        <w:pStyle w:val="Heading2"/>
      </w:pPr>
      <w:r>
        <w:t>1.1. Mục đích</w:t>
      </w:r>
    </w:p>
    <w:p>
      <w:r>
        <w:t>Áp dụng mô hình DIKW và IPO trong quản lý hệ thống...</w:t>
      </w:r>
    </w:p>
    <w:p>
      <w:pPr>
        <w:pStyle w:val="Heading3"/>
      </w:pPr>
      <w:r>
        <w:t>1.1.1. Phạm vi ứng dụng</w:t>
      </w:r>
    </w:p>
    <w:p>
      <w:r>
        <w:t>Dự án quản lý hạ tầng phần cứng tại GreenTech...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