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VÍ ĐIỆN TỬ PAYKX - DÀNH CHO SINH VIÊN</w:t>
      </w:r>
    </w:p>
    <w:p>
      <w:pPr>
        <w:pStyle w:val="Heading1"/>
        <w:jc w:val="center"/>
      </w:pPr>
      <w:r>
        <w:t>TÀI LIỆU ĐẶC TẢ YÊU CẦU PHẦN MỀM (SRS)</w:t>
      </w:r>
    </w:p>
    <w:p>
      <w:pPr/>
      <w:r>
        <w:t>Đặc tả tính năng Hoàn tiền (Cashback) &amp; Quản lý giao dịch</w:t>
      </w:r>
    </w:p>
    <w:p>
      <w:pPr>
        <w:pStyle w:val="Heading1"/>
      </w:pPr>
      <w:r>
        <w:t>MỤC LỤC TỰ ĐỘNG (TABLE OF CONTENTS)</w:t>
      </w:r>
    </w:p>
    <w:p>
      <w:pPr/>
      <w:r>
        <w:t>[Auto TOC Field Placeholder]</w:t>
      </w:r>
    </w:p>
    <w:p>
      <w:pPr>
        <w:pStyle w:val="Heading1"/>
      </w:pPr>
      <w:r>
        <w:t>1. GIỚI THIỆU TÍNH NĂNG HOÀN TIỀN (CASHBACK)</w:t>
      </w:r>
    </w:p>
    <w:p>
      <w:pPr>
        <w:pStyle w:val="Heading2"/>
      </w:pPr>
      <w:r>
        <w:t>1.1. Mục đích tính năng</w:t>
      </w:r>
    </w:p>
    <w:p>
      <w:pPr/>
      <w:r>
        <w:t>Tính năng hoàn tiền giúp khuyến khích sinh viên thanh toán dịch vụ qua ví PayKX, nâng cao trải nghiệm người dùng.</w:t>
      </w:r>
    </w:p>
    <w:p>
      <w:pPr>
        <w:pStyle w:val="Heading2"/>
      </w:pPr>
      <w:r>
        <w:t>1.2. Phạm vi áp dụng</w:t>
      </w:r>
    </w:p>
    <w:p>
      <w:pPr/>
      <w:r>
        <w:t>Áp dụng cho các giao dịch nạp tiền điện thoại, thanh toán hóa đơn học phí và dịch vụ ăn uống tại căng tin.</w:t>
      </w:r>
    </w:p>
    <w:p>
      <w:pPr>
        <w:pStyle w:val="Heading1"/>
      </w:pPr>
      <w:r>
        <w:t>2. YÊU CẦU CHỨC NĂNG</w:t>
      </w:r>
    </w:p>
    <w:p>
      <w:pPr>
        <w:pStyle w:val="Heading2"/>
      </w:pPr>
      <w:r>
        <w:t>2.1. Điều kiện kích hoạt hoàn tiền</w:t>
      </w:r>
    </w:p>
    <w:p>
      <w:pPr/>
      <w:r>
        <w:t>Hệ thống tự động tính toán % hoàn tiền dựa trên giá trị giao dịch và cộng tiền vào tài khoản Ví phụ trong 5 giây.</w:t>
      </w:r>
    </w:p>
    <w:p>
      <w:pPr>
        <w:pStyle w:val="Heading2"/>
      </w:pPr>
      <w:r>
        <w:t>2.2. Quy trình đối soát thù lao</w:t>
      </w:r>
    </w:p>
    <w:p>
      <w:pPr/>
      <w:r>
        <w:t>Đối soát dữ liệu giao dịch hàng tháng với Ngân hàng liên kết bằng thuật toán kiểm tra mã VLOOKUP và TRIM.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2C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559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