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CÔNG TY CỔ PHẦN GIAO HÀNG NHA NH FASTMOVE</w:t>
      </w:r>
    </w:p>
    <w:p>
      <w:pPr>
        <w:pStyle w:val="Heading1"/>
        <w:jc w:val="center"/>
      </w:pPr>
      <w:r>
        <w:t>QUY TRÌNH VẬN HÀNH KHO &amp; TRA CỨU GIÁ CƯỚC TỰ ĐỘNG</w:t>
      </w:r>
    </w:p>
    <w:p>
      <w:pPr>
        <w:pStyle w:val="Heading1"/>
      </w:pPr>
      <w:r>
        <w:t>MỤC LỤC TỰ ĐỘNG (TABLE OF CONTENTS)</w:t>
      </w:r>
    </w:p>
    <w:p>
      <w:pPr/>
      <w:r>
        <w:t>[Auto TOC Field Placeholder]</w:t>
      </w:r>
    </w:p>
    <w:p>
      <w:pPr>
        <w:pStyle w:val="Heading1"/>
      </w:pPr>
      <w:r>
        <w:t>1. QUY TRÌNH TIẾP NHẬN VÀ XỬ LÝ ĐƠN HÀNG TẠI KHO</w:t>
      </w:r>
    </w:p>
    <w:p>
      <w:pPr>
        <w:pStyle w:val="Heading2"/>
      </w:pPr>
      <w:r>
        <w:t>1.1. Tiếp nhận hàng và quét mã vận đơn</w:t>
      </w:r>
    </w:p>
    <w:p>
      <w:pPr/>
      <w:r>
        <w:t>Shipper bàn giao kiện hàng cho bộ phận kho. Nhân viên quét mã vận đơn bằng máy quét mã vạch chuyên dụng để tự động cập nhật hệ thống.</w:t>
      </w:r>
    </w:p>
    <w:p>
      <w:pPr>
        <w:pStyle w:val="Heading2"/>
      </w:pPr>
      <w:r>
        <w:t>1.2. Tra cứu giá cước tự động</w:t>
      </w:r>
    </w:p>
    <w:p>
      <w:pPr/>
      <w:r>
        <w:t>Bảng tính tự động truy vấn đơn giá dựa trên Mã vận đơn thông qua hàm VLOOKUP bọc IFERROR để loại bỏ độ trễ tra cứu thủ công.</w:t>
      </w:r>
    </w:p>
    <w:p>
      <w:pPr>
        <w:pStyle w:val="Heading1"/>
      </w:pPr>
      <w:r>
        <w:t>2. HƯỚNG DẪN QUY TRÌNH GIAO HÀNG CHO SHIPPER</w:t>
      </w:r>
    </w:p>
    <w:p>
      <w:pPr>
        <w:pStyle w:val="Heading2"/>
      </w:pPr>
      <w:r>
        <w:t>2.1. Kiểm tra trạng thái đơn hàng trên ứng dụng</w:t>
      </w:r>
    </w:p>
    <w:p>
      <w:pPr/>
      <w:r>
        <w:t>Shipper truy cập ứng dụng FastMove Driver để nhận danh sách đơn hàng được phân công trong ca.</w:t>
      </w:r>
    </w:p>
    <w:p>
      <w:pPr>
        <w:pStyle w:val="Heading2"/>
      </w:pPr>
      <w:r>
        <w:t>2.2. Tiến hành giao hàng và cập nhật đối soát</w:t>
      </w:r>
    </w:p>
    <w:p>
      <w:pPr/>
      <w:r>
        <w:t>Liên hệ khách hàng trước 15 phút, giao hàng và thu tiền COD (nếu có). Cập nhật trạng thái "Giao thành công" lên hệ thống.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2D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FF66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