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HỆ THỐNG QUẢN LÝ PHÒNG KHÁM CLINIC-CLOUD</w:t>
      </w:r>
    </w:p>
    <w:p>
      <w:pPr>
        <w:pStyle w:val="Heading1"/>
        <w:jc w:val="center"/>
      </w:pPr>
      <w:r>
        <w:t>TÀI LIỆU ĐẶC TẢ YÊU CẦU PHẦN MỀM (SRS)</w:t>
      </w:r>
    </w:p>
    <w:p>
      <w:pPr/>
      <w:r>
        <w:t>Đặc tả module Quản lý Bệnh án Điện tử &amp; Bảo mật Y tế</w:t>
      </w:r>
    </w:p>
    <w:p>
      <w:pPr>
        <w:pStyle w:val="Heading1"/>
      </w:pPr>
      <w:r>
        <w:t>MỤC LỤC TỰ ĐỘNG (TABLE OF CONTENTS)</w:t>
      </w:r>
    </w:p>
    <w:p>
      <w:pPr/>
      <w:r>
        <w:t>[Auto TOC Field Placeholder]</w:t>
      </w:r>
    </w:p>
    <w:p>
      <w:pPr>
        <w:pStyle w:val="Heading1"/>
      </w:pPr>
      <w:r>
        <w:t>1. GIỚI THIỆU TỔNG QUAN DỰ ÁN CLINIC-CLOUD</w:t>
      </w:r>
    </w:p>
    <w:p>
      <w:pPr>
        <w:pStyle w:val="Heading2"/>
      </w:pPr>
      <w:r>
        <w:t>1.1. Mục tiêu hệ thống</w:t>
      </w:r>
    </w:p>
    <w:p>
      <w:pPr/>
      <w:r>
        <w:t>Hiện đại hóa quy trình lưu trữ hồ sơ bệnh nhân cho phòng khám Startup, thay thế quản lý hồ sơ giấy bằng điện tử.</w:t>
      </w:r>
    </w:p>
    <w:p>
      <w:pPr>
        <w:pStyle w:val="Heading2"/>
      </w:pPr>
      <w:r>
        <w:t>1.2. Phạm vi áp dụng</w:t>
      </w:r>
    </w:p>
    <w:p>
      <w:pPr/>
      <w:r>
        <w:t>Áp dụng cho toàn bộ các khoa khám bệnh, nhà thuốc và bộ phận tài chính kế toán của phòng khám.</w:t>
      </w:r>
    </w:p>
    <w:p>
      <w:pPr>
        <w:pStyle w:val="Heading1"/>
      </w:pPr>
      <w:r>
        <w:t>2. ĐẶC TẢ YÊU CẦU CHỨC NĂNG (FUNCTIONAL REQUIREMENTS)</w:t>
      </w:r>
    </w:p>
    <w:p>
      <w:pPr>
        <w:pStyle w:val="Heading2"/>
      </w:pPr>
      <w:r>
        <w:t>2.1. Quản lý khám bệnh và tạo bệnh án</w:t>
      </w:r>
    </w:p>
    <w:p>
      <w:pPr/>
      <w:r>
        <w:t>Bác sĩ ghi nhận triệu chứng, tiền sử bệnh và kê đơn thuốc trực tiếp trên giao diện phần mềm.</w:t>
      </w:r>
    </w:p>
    <w:p>
      <w:pPr>
        <w:pStyle w:val="Heading2"/>
      </w:pPr>
      <w:r>
        <w:t>2.2. Tra cứu lịch sử khám bệnh</w:t>
      </w:r>
    </w:p>
    <w:p>
      <w:pPr/>
      <w:r>
        <w:t>Cho phép truy vấn hồ sơ bệnh nhân theo Mã bệnh nhân (MBN) hoặc Số CMND/CCCD.</w:t>
      </w:r>
    </w:p>
    <w:p>
      <w:pPr>
        <w:pStyle w:val="Heading1"/>
      </w:pPr>
      <w:r>
        <w:t>3. ĐẶC TẢ YÊU CẦU PHI CHỨC NĂNG (NON-FUNCTIONAL REQUIREMENTS)</w:t>
      </w:r>
    </w:p>
    <w:p>
      <w:pPr>
        <w:pStyle w:val="Heading2"/>
      </w:pPr>
      <w:r>
        <w:t>3.1. Bảo mật dữ liệu y tế (HIPAA Compliance)</w:t>
      </w:r>
    </w:p>
    <w:p>
      <w:pPr/>
      <w:r>
        <w:t>Dữ liệu hồ sơ bệnh án phải được mã hóa theo chuẩn AES-256 trước khi lưu trữ vào cơ sở dữ liệu.</w:t>
      </w:r>
    </w:p>
    <w:p>
      <w:pPr>
        <w:pStyle w:val="Heading2"/>
      </w:pPr>
      <w:r>
        <w:t>3.2. Quyền truy cập và Nhật ký hệ thống (Audit Log)</w:t>
      </w:r>
    </w:p>
    <w:p>
      <w:pPr/>
      <w:r>
        <w:t>Phân quyền chặt chẽ theo vai trò (Bác sĩ, Y sĩ, Kế toán). Mọi thao tác xem/sửa bệnh án phải ghi lại nhật ký audit log.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