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HỌC VIỆN CÔNG NGHỆ BƯU CHÍNH VIỄN THÔNG</w:t>
      </w:r>
    </w:p>
    <w:p>
      <w:pPr>
        <w:pStyle w:val="Heading1"/>
        <w:jc w:val="center"/>
      </w:pPr>
      <w:r>
        <w:t>BÁO CÁO TỔNG KẾT HỘI NGHỊ KHOA HỌC SINH VIÊN PTIT 2026</w:t>
      </w:r>
    </w:p>
    <w:p>
      <w:pPr>
        <w:pStyle w:val="Heading1"/>
      </w:pPr>
      <w:r>
        <w:t>MỤC LỤC TỰ ĐỘNG (TABLE OF CONTENTS)</w:t>
      </w:r>
    </w:p>
    <w:p>
      <w:pPr/>
      <w:r>
        <w:t>[Auto TOC Field Placeholder]</w:t>
      </w:r>
    </w:p>
    <w:p>
      <w:pPr>
        <w:pStyle w:val="Heading1"/>
      </w:pPr>
      <w:r>
        <w:t>1. TỔNG QUAN HỘI NGHỊ</w:t>
      </w:r>
    </w:p>
    <w:p>
      <w:pPr>
        <w:pStyle w:val="Heading2"/>
      </w:pPr>
      <w:r>
        <w:t>1.1. Mục đích và Quy mô</w:t>
      </w:r>
    </w:p>
    <w:p>
      <w:pPr/>
      <w:r>
        <w:t>Hội nghị Khoa học Sinh viên PTIT 2026 đã diễn ra thành công tốt đẹp từ 08:00 – 17:30 ngày 15/11/2026 tại Hội trường A với tổng số 350 người tham dự (290 sinh viên, 48 giảng viên, 12 khách mời).</w:t>
      </w:r>
    </w:p>
    <w:p>
      <w:pPr>
        <w:pStyle w:val="Heading2"/>
      </w:pPr>
      <w:r>
        <w:t>1.2. Công tác chuẩn bị và Thù lao báo cáo viên</w:t>
      </w:r>
    </w:p>
    <w:p>
      <w:pPr/>
      <w:r>
        <w:t>Ban Tổ chức đã thực hiện tốt công tác hậu cần và chi trả thù lao cho các báo cáo viên dựa trên kết quả tra cứu dữ liệu từ sheet DanhMucTacGia.</w:t>
      </w:r>
    </w:p>
    <w:p>
      <w:pPr>
        <w:pStyle w:val="Heading1"/>
      </w:pPr>
      <w:r>
        <w:t>2. CÔNG TÁC TỔ CHỨC VÀ NHÂN SỰ</w:t>
      </w:r>
    </w:p>
    <w:p>
      <w:pPr>
        <w:pStyle w:val="Heading2"/>
      </w:pPr>
      <w:r>
        <w:t>2.1. Hội đồng Thẩm định</w:t>
      </w:r>
    </w:p>
    <w:p>
      <w:pPr>
        <w:pStyle w:val="Heading3"/>
      </w:pPr>
      <w:r>
        <w:t>2.1.1. Tiểu ban Chuyên môn</w:t>
      </w:r>
    </w:p>
    <w:p>
      <w:pPr/>
      <w:r>
        <w:t>Hội đồng chuyên môn đã tiến hành thẩm định độc lập 100 báo cáo nộp về từ 4 Khoa/Viện.</w:t>
      </w:r>
    </w:p>
    <w:p>
      <w:pPr>
        <w:pStyle w:val="Heading1"/>
      </w:pPr>
      <w:r>
        <w:t>3. KẾT QUẢ VÀ THỐNG KÊ</w:t>
      </w:r>
    </w:p>
    <w:p>
      <w:pPr>
        <w:pStyle w:val="Heading2"/>
      </w:pPr>
      <w:r>
        <w:t>3.1. Bảng số liệu tổng hợp kết quả</w:t>
      </w:r>
    </w:p>
    <w:tbl>
      <w:tblPr>
        <w:tblStyle w:val="TableGrid"/>
        <w:tblW w:type="auto" w:w="0"/>
        <w:tblLook w:firstColumn="1" w:firstRow="1" w:lastColumn="0" w:lastRow="0" w:noHBand="0" w:noVBand="1" w:val="04A0"/>
      </w:tblPr>
      <w:tblGrid>
        <w:gridCol w:w="1806"/>
        <w:gridCol w:w="1806"/>
        <w:gridCol w:w="1806"/>
        <w:gridCol w:w="1806"/>
        <w:gridCol w:w="1806"/>
      </w:tblGrid>
      <w:tr>
        <w:tc>
          <w:tcPr>
            <w:tcW w:type="dxa" w:w="1806"/>
          </w:tcPr>
          <w:p>
            <w:r>
              <w:t>Khoa / Viện</w:t>
            </w:r>
          </w:p>
        </w:tc>
        <w:tc>
          <w:tcPr>
            <w:tcW w:type="dxa" w:w="1806"/>
          </w:tcPr>
          <w:p>
            <w:r>
              <w:t>Số báo cáo nộp</w:t>
            </w:r>
          </w:p>
        </w:tc>
        <w:tc>
          <w:tcPr>
            <w:tcW w:type="dxa" w:w="1806"/>
          </w:tcPr>
          <w:p>
            <w:r>
              <w:t>Số báo cáo được duyệt</w:t>
            </w:r>
          </w:p>
        </w:tc>
        <w:tc>
          <w:tcPr>
            <w:tcW w:type="dxa" w:w="1806"/>
          </w:tcPr>
          <w:p>
            <w:r>
              <w:t>Tỷ lệ duyệt</w:t>
            </w:r>
          </w:p>
        </w:tc>
        <w:tc>
          <w:tcPr>
            <w:tcW w:type="dxa" w:w="1806"/>
          </w:tcPr>
          <w:p>
            <w:r>
              <w:t>Giải Nhất</w:t>
            </w:r>
          </w:p>
        </w:tc>
      </w:tr>
      <w:tr>
        <w:tc>
          <w:tcPr>
            <w:tcW w:type="dxa" w:w="1806"/>
          </w:tcPr>
          <w:p>
            <w:r>
              <w:t>Công nghệ Thông tin</w:t>
            </w:r>
          </w:p>
        </w:tc>
        <w:tc>
          <w:tcPr>
            <w:tcW w:type="dxa" w:w="1806"/>
          </w:tcPr>
          <w:p>
            <w:r>
              <w:t>42</w:t>
            </w:r>
          </w:p>
        </w:tc>
        <w:tc>
          <w:tcPr>
            <w:tcW w:type="dxa" w:w="1806"/>
          </w:tcPr>
          <w:p>
            <w:r>
              <w:t>38</w:t>
            </w:r>
          </w:p>
        </w:tc>
        <w:tc>
          <w:tcPr>
            <w:tcW w:type="dxa" w:w="1806"/>
          </w:tcPr>
          <w:p>
            <w:r>
              <w:t>90%</w:t>
            </w:r>
          </w:p>
        </w:tc>
        <w:tc>
          <w:tcPr>
            <w:tcW w:type="dxa" w:w="1806"/>
          </w:tcPr>
          <w:p>
            <w:r>
              <w:t>2 giải</w:t>
            </w:r>
          </w:p>
        </w:tc>
      </w:tr>
      <w:tr>
        <w:tc>
          <w:tcPr>
            <w:tcW w:type="dxa" w:w="1806"/>
          </w:tcPr>
          <w:p>
            <w:r>
              <w:t>Điện tử - Viễn thông</w:t>
            </w:r>
          </w:p>
        </w:tc>
        <w:tc>
          <w:tcPr>
            <w:tcW w:type="dxa" w:w="1806"/>
          </w:tcPr>
          <w:p>
            <w:r>
              <w:t>28</w:t>
            </w:r>
          </w:p>
        </w:tc>
        <w:tc>
          <w:tcPr>
            <w:tcW w:type="dxa" w:w="1806"/>
          </w:tcPr>
          <w:p>
            <w:r>
              <w:t>22</w:t>
            </w:r>
          </w:p>
        </w:tc>
        <w:tc>
          <w:tcPr>
            <w:tcW w:type="dxa" w:w="1806"/>
          </w:tcPr>
          <w:p>
            <w:r>
              <w:t>79%</w:t>
            </w:r>
          </w:p>
        </w:tc>
        <w:tc>
          <w:tcPr>
            <w:tcW w:type="dxa" w:w="1806"/>
          </w:tcPr>
          <w:p>
            <w:r>
              <w:t>1 giải</w:t>
            </w:r>
          </w:p>
        </w:tc>
      </w:tr>
      <w:tr>
        <w:tc>
          <w:tcPr>
            <w:tcW w:type="dxa" w:w="1806"/>
          </w:tcPr>
          <w:p>
            <w:r>
              <w:t>Kinh tế - Quản lý</w:t>
            </w:r>
          </w:p>
        </w:tc>
        <w:tc>
          <w:tcPr>
            <w:tcW w:type="dxa" w:w="1806"/>
          </w:tcPr>
          <w:p>
            <w:r>
              <w:t>19</w:t>
            </w:r>
          </w:p>
        </w:tc>
        <w:tc>
          <w:tcPr>
            <w:tcW w:type="dxa" w:w="1806"/>
          </w:tcPr>
          <w:p>
            <w:r>
              <w:t>15</w:t>
            </w:r>
          </w:p>
        </w:tc>
        <w:tc>
          <w:tcPr>
            <w:tcW w:type="dxa" w:w="1806"/>
          </w:tcPr>
          <w:p>
            <w:r>
              <w:t>79%</w:t>
            </w:r>
          </w:p>
        </w:tc>
        <w:tc>
          <w:tcPr>
            <w:tcW w:type="dxa" w:w="1806"/>
          </w:tcPr>
          <w:p>
            <w:r>
              <w:t>0 giải</w:t>
            </w:r>
          </w:p>
        </w:tc>
      </w:tr>
      <w:tr>
        <w:tc>
          <w:tcPr>
            <w:tcW w:type="dxa" w:w="1806"/>
          </w:tcPr>
          <w:p>
            <w:r>
              <w:t>Cơ sở chung (năm 1)</w:t>
            </w:r>
          </w:p>
        </w:tc>
        <w:tc>
          <w:tcPr>
            <w:tcW w:type="dxa" w:w="1806"/>
          </w:tcPr>
          <w:p>
            <w:r>
              <w:t>11</w:t>
            </w:r>
          </w:p>
        </w:tc>
        <w:tc>
          <w:tcPr>
            <w:tcW w:type="dxa" w:w="1806"/>
          </w:tcPr>
          <w:p>
            <w:r>
              <w:t>7</w:t>
            </w:r>
          </w:p>
        </w:tc>
        <w:tc>
          <w:tcPr>
            <w:tcW w:type="dxa" w:w="1806"/>
          </w:tcPr>
          <w:p>
            <w:r>
              <w:t>64%</w:t>
            </w:r>
          </w:p>
        </w:tc>
        <w:tc>
          <w:tcPr>
            <w:tcW w:type="dxa" w:w="1806"/>
          </w:tcPr>
          <w:p>
            <w:r>
              <w:t>0 giải</w:t>
            </w:r>
          </w:p>
        </w:tc>
      </w:tr>
      <w:tr>
        <w:tc>
          <w:tcPr>
            <w:tcW w:type="dxa" w:w="1806"/>
          </w:tcPr>
          <w:p>
            <w:r>
              <w:t>TỔNG CỘNG</w:t>
            </w:r>
          </w:p>
        </w:tc>
        <w:tc>
          <w:tcPr>
            <w:tcW w:type="dxa" w:w="1806"/>
          </w:tcPr>
          <w:p>
            <w:r>
              <w:t>100</w:t>
            </w:r>
          </w:p>
        </w:tc>
        <w:tc>
          <w:tcPr>
            <w:tcW w:type="dxa" w:w="1806"/>
          </w:tcPr>
          <w:p>
            <w:r>
              <w:t>82</w:t>
            </w:r>
          </w:p>
        </w:tc>
        <w:tc>
          <w:tcPr>
            <w:tcW w:type="dxa" w:w="1806"/>
          </w:tcPr>
          <w:p>
            <w:r>
              <w:t>82%</w:t>
            </w:r>
          </w:p>
        </w:tc>
        <w:tc>
          <w:tcPr>
            <w:tcW w:type="dxa" w:w="1806"/>
          </w:tcPr>
          <w:p>
            <w:r>
              <w:t>3 giải</w:t>
            </w:r>
          </w:p>
        </w:tc>
      </w:tr>
    </w:tbl>
    <w:p>
      <w:pPr>
        <w:pStyle w:val="Heading2"/>
      </w:pPr>
      <w:r>
        <w:t>3.2. Nhận xét và Đánh giá</w:t>
      </w:r>
    </w:p>
    <w:p>
      <w:pPr/>
      <w:r>
        <w:t>Hội nghị năm nay đạt chất lượng chuyên môn rất cao với 82% báo cáo được thông qua. Đáng chú ý:</w:t>
        <w:br/>
      </w:r>
      <w:r>
        <w:t>1. Khoa CNTT giữ vị trí dẫn đầu cả về số lượng đề tài đăng ký (42 báo cáo) lẫn tỷ lệ duyệt (90%), đồng thời ẵm trọn 2/3 Giải Nhất toàn hội nghị.</w:t>
        <w:br/>
      </w:r>
      <w:r>
        <w:t>2. Khối Điện tử - Viễn thông và Kinh tế - Quản lý duy trì phong độ ổn định với tỷ lệ duyệt ngang nhau (79%), trong đó ĐTVT đạt 1 Giải Nhất xuất sắc.</w:t>
        <w:br/>
      </w:r>
      <w:r>
        <w:t>3. Sinh viên năm nhất (Khối Cơ sở chung) thể hiện tinh thần nghiên cứu đáng khích lệ với 11 bài nộp và 7 bài được chọn báo cáo.</w:t>
      </w:r>
    </w:p>
    <w:p>
      <w:pPr>
        <w:pStyle w:val="Heading2"/>
      </w:pPr>
      <w:r>
        <w:t>3.3. Kiến nghị cho hội nghị năm sau</w:t>
      </w:r>
    </w:p>
    <w:p>
      <w:pPr/>
      <w:r>
        <w:t>Cần tăng cường các buổi workshop hướng dẫn phương pháp NCKH cho sinh viên năm 1, đồng thời mở rộng hạn mức ngân sách khen thưởng cho các đề tài xuất sắc.</w:t>
      </w:r>
    </w:p>
    <w:p>
      <w:pPr>
        <w:pStyle w:val="Heading1"/>
      </w:pPr>
      <w:r>
        <w:t>4. PHƯƠNG HƯỚNG VÀ KẾ HOẠCH NĂM SAU</w:t>
      </w:r>
    </w:p>
    <w:p>
      <w:pPr/>
      <w:r>
        <w:t>Tiếp tục tối ưu hóa quy trình quản lý bằng phần mềm tự động và nhân rộng mô hình hội nghị sinh viên toàn Học viện.</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5598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0505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