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D1AA" w14:textId="1410E3B1" w:rsidR="00E7586F" w:rsidRDefault="00CE0BE9" w:rsidP="00CE0BE9">
      <w:pPr>
        <w:pStyle w:val="Heading1"/>
        <w:pBdr>
          <w:bottom w:val="single" w:sz="24" w:space="2" w:color="4F81BD" w:themeColor="accent1"/>
        </w:pBdr>
        <w:rPr>
          <w:sz w:val="40"/>
          <w:szCs w:val="40"/>
        </w:rPr>
      </w:pPr>
      <w:r w:rsidRPr="00CE0BE9">
        <w:rPr>
          <w:sz w:val="40"/>
          <w:szCs w:val="40"/>
        </w:rPr>
        <w:t>Detecting Fraud Signals</w:t>
      </w:r>
      <w:r w:rsidR="00973D1E">
        <w:rPr>
          <w:sz w:val="40"/>
          <w:szCs w:val="40"/>
        </w:rPr>
        <w:br/>
      </w:r>
      <w:r w:rsidR="00973D1E" w:rsidRPr="00973D1E">
        <w:rPr>
          <w:i/>
          <w:iCs/>
          <w:szCs w:val="24"/>
        </w:rPr>
        <w:t>Case Study Team 2</w:t>
      </w:r>
    </w:p>
    <w:p w14:paraId="5394AA50" w14:textId="3B900863" w:rsidR="004A6F62" w:rsidRDefault="00CE0BE9" w:rsidP="00636954">
      <w:pPr>
        <w:pStyle w:val="Heading2"/>
      </w:pPr>
      <w:r>
        <w:t>Background</w:t>
      </w:r>
    </w:p>
    <w:p w14:paraId="308054E0" w14:textId="77777777" w:rsidR="00EB4D9E" w:rsidRDefault="00EB4D9E" w:rsidP="00CC0A8E">
      <w:pPr>
        <w:sectPr w:rsidR="00EB4D9E" w:rsidSect="00034616">
          <w:headerReference w:type="default" r:id="rId11"/>
          <w:footerReference w:type="default" r:id="rId12"/>
          <w:pgSz w:w="12240" w:h="15840"/>
          <w:pgMar w:top="1080" w:right="1080" w:bottom="1080" w:left="1080" w:header="720" w:footer="720" w:gutter="0"/>
          <w:cols w:space="720"/>
          <w:docGrid w:linePitch="360"/>
        </w:sectPr>
      </w:pPr>
    </w:p>
    <w:p w14:paraId="6C2F52D2" w14:textId="0D96F9FD" w:rsidR="00785B89" w:rsidRPr="00732721" w:rsidRDefault="00C301E6" w:rsidP="00CC0A8E">
      <w:r>
        <w:rPr>
          <w:noProof/>
          <w:color w:val="0F243E" w:themeColor="text2" w:themeShade="80"/>
        </w:rPr>
        <w:drawing>
          <wp:anchor distT="0" distB="0" distL="114300" distR="114300" simplePos="0" relativeHeight="251658243" behindDoc="0" locked="0" layoutInCell="1" allowOverlap="1" wp14:anchorId="5FE23884" wp14:editId="0F96BFBE">
            <wp:simplePos x="0" y="0"/>
            <wp:positionH relativeFrom="column">
              <wp:posOffset>3429000</wp:posOffset>
            </wp:positionH>
            <wp:positionV relativeFrom="page">
              <wp:posOffset>2732567</wp:posOffset>
            </wp:positionV>
            <wp:extent cx="2870200" cy="2670810"/>
            <wp:effectExtent l="0" t="0" r="6350" b="0"/>
            <wp:wrapTopAndBottom/>
            <wp:docPr id="64796178" name="Picture 2" descr="A diagram of a tri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6178" name="Picture 2" descr="A diagram of a triangle with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0200" cy="2670810"/>
                    </a:xfrm>
                    <a:prstGeom prst="rect">
                      <a:avLst/>
                    </a:prstGeom>
                    <a:noFill/>
                    <a:ln>
                      <a:noFill/>
                    </a:ln>
                  </pic:spPr>
                </pic:pic>
              </a:graphicData>
            </a:graphic>
          </wp:anchor>
        </w:drawing>
      </w:r>
      <w:r w:rsidR="00353B90">
        <w:t>Our project “</w:t>
      </w:r>
      <w:r w:rsidR="00353B90" w:rsidRPr="00353B90">
        <w:t>Detecting Fraud Signals in Centers for Medicaid and Medicare Services (CMS) Data using Machine Learning on Class Imbalanced Big Data</w:t>
      </w:r>
      <w:r w:rsidR="00353B90">
        <w:t>”</w:t>
      </w:r>
      <w:r w:rsidR="00CC0A8E">
        <w:t xml:space="preserve"> </w:t>
      </w:r>
      <w:r w:rsidR="00CC0A8E" w:rsidRPr="00732721">
        <w:t xml:space="preserve">focuses on the healthcare fraud, waste and abuse that drains billions of taxpayer dollars each year and undermine the integrity of </w:t>
      </w:r>
      <w:r w:rsidR="004C58E4">
        <w:t xml:space="preserve">federally </w:t>
      </w:r>
      <w:r w:rsidR="00CC0A8E" w:rsidRPr="00732721">
        <w:t>funded programs</w:t>
      </w:r>
      <w:r w:rsidR="004C58E4">
        <w:t>.</w:t>
      </w:r>
      <w:r w:rsidR="00CC0A8E" w:rsidRPr="00732721">
        <w:t xml:space="preserve"> </w:t>
      </w:r>
      <w:r w:rsidR="00261828">
        <w:t>Bad actors are motivated by opportunity, rationalization, and financial pressure to use</w:t>
      </w:r>
      <w:r w:rsidR="00CC0A8E">
        <w:t xml:space="preserve"> healthcare </w:t>
      </w:r>
      <w:r w:rsidR="00261828">
        <w:t>as a means for fraudulent activity</w:t>
      </w:r>
      <w:r w:rsidR="00CC0A8E">
        <w:t xml:space="preserve">.  </w:t>
      </w:r>
    </w:p>
    <w:p w14:paraId="1F197EC7" w14:textId="65838932" w:rsidR="00EB4D9E" w:rsidRPr="00C301E6" w:rsidRDefault="00EB4D9E" w:rsidP="00CC0A8E">
      <w:r>
        <w:rPr>
          <w:noProof/>
        </w:rPr>
        <mc:AlternateContent>
          <mc:Choice Requires="wps">
            <w:drawing>
              <wp:anchor distT="182880" distB="182880" distL="182880" distR="182880" simplePos="0" relativeHeight="251658240" behindDoc="0" locked="0" layoutInCell="1" allowOverlap="1" wp14:anchorId="37C3AD71" wp14:editId="77F0B9BD">
                <wp:simplePos x="0" y="0"/>
                <wp:positionH relativeFrom="margin">
                  <wp:align>right</wp:align>
                </wp:positionH>
                <wp:positionV relativeFrom="paragraph">
                  <wp:posOffset>2458720</wp:posOffset>
                </wp:positionV>
                <wp:extent cx="6398260" cy="3206115"/>
                <wp:effectExtent l="0" t="0" r="2540" b="0"/>
                <wp:wrapTopAndBottom/>
                <wp:docPr id="118" name="Snip Single Corner Rectangle 118"/>
                <wp:cNvGraphicFramePr/>
                <a:graphic xmlns:a="http://schemas.openxmlformats.org/drawingml/2006/main">
                  <a:graphicData uri="http://schemas.microsoft.com/office/word/2010/wordprocessingShape">
                    <wps:wsp>
                      <wps:cNvSpPr/>
                      <wps:spPr>
                        <a:xfrm>
                          <a:off x="0" y="0"/>
                          <a:ext cx="6398260" cy="3206115"/>
                        </a:xfrm>
                        <a:prstGeom prst="snip1Rect">
                          <a:avLst/>
                        </a:prstGeom>
                        <a:gradFill flip="none" rotWithShape="1">
                          <a:gsLst>
                            <a:gs pos="0">
                              <a:schemeClr val="tx2">
                                <a:lumMod val="60000"/>
                                <a:lumOff val="40000"/>
                                <a:alpha val="20000"/>
                              </a:schemeClr>
                            </a:gs>
                            <a:gs pos="100000">
                              <a:schemeClr val="tx2">
                                <a:lumMod val="20000"/>
                                <a:lumOff val="80000"/>
                                <a:alpha val="20000"/>
                              </a:schemeClr>
                            </a:gs>
                          </a:gsLst>
                          <a:lin ang="5400000" scaled="0"/>
                          <a:tileRect/>
                        </a:gra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0AE629EB" w14:textId="40272C0B" w:rsidR="00A742AC" w:rsidRPr="00440947" w:rsidRDefault="00024317" w:rsidP="002F26BD">
                            <w:pPr>
                              <w:rPr>
                                <w:color w:val="1F497D" w:themeColor="text2"/>
                                <w:sz w:val="32"/>
                                <w:szCs w:val="32"/>
                              </w:rPr>
                            </w:pPr>
                            <w:r>
                              <w:rPr>
                                <w:color w:val="1F497D" w:themeColor="text2"/>
                                <w:sz w:val="32"/>
                                <w:szCs w:val="32"/>
                              </w:rPr>
                              <w:t>To assist with this problem, our a</w:t>
                            </w:r>
                            <w:r w:rsidR="00A742AC" w:rsidRPr="00440947">
                              <w:rPr>
                                <w:color w:val="1F497D" w:themeColor="text2"/>
                                <w:sz w:val="32"/>
                                <w:szCs w:val="32"/>
                              </w:rPr>
                              <w:t>pproach</w:t>
                            </w:r>
                            <w:r>
                              <w:rPr>
                                <w:color w:val="1F497D" w:themeColor="text2"/>
                                <w:sz w:val="32"/>
                                <w:szCs w:val="32"/>
                              </w:rPr>
                              <w:t>…</w:t>
                            </w:r>
                          </w:p>
                          <w:p w14:paraId="3AE2CE59" w14:textId="79367598" w:rsidR="00A742AC" w:rsidRDefault="00024317" w:rsidP="00024317">
                            <w:pPr>
                              <w:rPr>
                                <w:color w:val="0F243E" w:themeColor="text2" w:themeShade="80"/>
                              </w:rPr>
                            </w:pPr>
                            <w:r>
                              <w:rPr>
                                <w:color w:val="0F243E" w:themeColor="text2" w:themeShade="80"/>
                              </w:rPr>
                              <w:t>…uses</w:t>
                            </w:r>
                            <w:r w:rsidR="002F26BD">
                              <w:rPr>
                                <w:color w:val="0F243E" w:themeColor="text2" w:themeShade="80"/>
                              </w:rPr>
                              <w:t xml:space="preserve"> an analytical framework</w:t>
                            </w:r>
                            <w:r w:rsidR="002F26BD" w:rsidRPr="002F26BD">
                              <w:rPr>
                                <w:color w:val="0F243E" w:themeColor="text2" w:themeShade="80"/>
                              </w:rPr>
                              <w:t xml:space="preserve"> that integrates CMS DMEPOS claims, NPPES, Open Payments, the OIG Exclusion List, and U.S. Census indicators into a standardized provider–year dataset. We apply an explainable unsupervised ensemble to model baseline “normal” behavior within each specialty, then flag providers who are statistically atypical without relying on large numbers of confirmed fraud labels. Key signals include year-over-year changes, z-scored billing and payment spikes, and utilization mix patterns derived from HCPCS codes and product categories. Each provider receives a risk score by scaling and aggregating anomaly outputs across models (K-Means, LOF, Isolation Forest), producing a ranked list for triage. For transparency, the score is paired with top contributing anomaly factors and an evidence summary that documents the specific behaviors driving the flag, enabling faster, more consistent investigative prioritization.</w:t>
                            </w:r>
                          </w:p>
                        </w:txbxContent>
                      </wps:txbx>
                      <wps:bodyPr rot="0" spcFirstLastPara="0" vertOverflow="overflow" horzOverflow="overflow" vert="horz" wrap="square" lIns="228600" tIns="91440" rIns="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3AD71" id="Snip Single Corner Rectangle 118" o:spid="_x0000_s1026" style="position:absolute;margin-left:452.6pt;margin-top:193.6pt;width:503.8pt;height:252.45pt;z-index:251658240;visibility:visible;mso-wrap-style:square;mso-width-percent:0;mso-height-percent:0;mso-wrap-distance-left:14.4pt;mso-wrap-distance-top:14.4pt;mso-wrap-distance-right:14.4pt;mso-wrap-distance-bottom:14.4pt;mso-position-horizontal:right;mso-position-horizontal-relative:margin;mso-position-vertical:absolute;mso-position-vertical-relative:text;mso-width-percent:0;mso-height-percent:0;mso-width-relative:margin;mso-height-relative:margin;v-text-anchor:top" coordsize="6398260,320611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" adj="-11796480,,5400" path="m,l5863897,r534363,534363l6398260,3206115,,3206115,,xe" fillcolor="#548dd4 [1951]" stroked="f" strokeweight="2pt">
                <v:fill opacity="13107f" color2="#c6d9f1 [671]" o:opacity2="13107f" rotate="t" focus="100%" type="gradient">
                  <o:fill v:ext="view" type="gradientUnscaled"/>
                </v:fill>
                <v:stroke joinstyle="miter"/>
                <v:formulas/>
                <v:path arrowok="t" o:connecttype="custom" o:connectlocs="0,0;5863897,0;6398260,534363;6398260,3206115;0,3206115;0,0" o:connectangles="0,0,0,0,0,0" textboxrect="0,0,6398260,3206115"/>
                <v:textbox inset="18pt,7.2pt,0,7.2pt">
                  <w:txbxContent>
                    <w:p w14:paraId="0AE629EB" w14:textId="40272C0B" w:rsidR="00A742AC" w:rsidRPr="00440947" w:rsidRDefault="00024317" w:rsidP="002F26BD">
                      <w:pPr>
                        <w:rPr>
                          <w:color w:val="1F497D" w:themeColor="text2"/>
                          <w:sz w:val="32"/>
                          <w:szCs w:val="32"/>
                        </w:rPr>
                      </w:pPr>
                      <w:r>
                        <w:rPr>
                          <w:color w:val="1F497D" w:themeColor="text2"/>
                          <w:sz w:val="32"/>
                          <w:szCs w:val="32"/>
                        </w:rPr>
                        <w:t>To assist with this problem, our a</w:t>
                      </w:r>
                      <w:r w:rsidR="00A742AC" w:rsidRPr="00440947">
                        <w:rPr>
                          <w:color w:val="1F497D" w:themeColor="text2"/>
                          <w:sz w:val="32"/>
                          <w:szCs w:val="32"/>
                        </w:rPr>
                        <w:t>pproach</w:t>
                      </w:r>
                      <w:r>
                        <w:rPr>
                          <w:color w:val="1F497D" w:themeColor="text2"/>
                          <w:sz w:val="32"/>
                          <w:szCs w:val="32"/>
                        </w:rPr>
                        <w:t>…</w:t>
                      </w:r>
                    </w:p>
                    <w:p w14:paraId="3AE2CE59" w14:textId="79367598" w:rsidR="00A742AC" w:rsidRDefault="00024317" w:rsidP="00024317">
                      <w:pPr>
                        <w:rPr>
                          <w:color w:val="0F243E" w:themeColor="text2" w:themeShade="80"/>
                        </w:rPr>
                      </w:pPr>
                      <w:r>
                        <w:rPr>
                          <w:color w:val="0F243E" w:themeColor="text2" w:themeShade="80"/>
                        </w:rPr>
                        <w:t>…uses</w:t>
                      </w:r>
                      <w:r w:rsidR="002F26BD">
                        <w:rPr>
                          <w:color w:val="0F243E" w:themeColor="text2" w:themeShade="80"/>
                        </w:rPr>
                        <w:t xml:space="preserve"> an analytical framework</w:t>
                      </w:r>
                      <w:r w:rsidR="002F26BD" w:rsidRPr="002F26BD">
                        <w:rPr>
                          <w:color w:val="0F243E" w:themeColor="text2" w:themeShade="80"/>
                        </w:rPr>
                        <w:t xml:space="preserve"> that integrates CMS DMEPOS claims, NPPES, Open Payments, the OIG Exclusion List, and U.S. Census indicators into a standardized provider–year dataset. We apply an explainable unsupervised ensemble to model baseline “normal” behavior within each specialty, then flag providers who are statistically atypical without relying on large numbers of confirmed fraud labels. Key signals include year-over-year changes, z-scored billing and payment spikes, and utilization mix patterns derived from HCPCS codes and product categories. Each provider receives a risk score by scaling and aggregating anomaly outputs across models (K-Means, LOF, Isolation Forest), producing a ranked list for triage. For transparency, the score is paired with top contributing anomaly factors and an evidence summary that documents the specific behaviors driving the flag, enabling faster, more consistent investigative prioritization.</w:t>
                      </w:r>
                    </w:p>
                  </w:txbxContent>
                </v:textbox>
                <w10:wrap type="topAndBottom" anchorx="margin"/>
              </v:shape>
            </w:pict>
          </mc:Fallback>
        </mc:AlternateContent>
      </w:r>
      <w:r w:rsidR="00CC0A8E" w:rsidRPr="00732721">
        <w:t xml:space="preserve">One particularly vulnerable area involves Durable Medical Equipment, Prosthetics, Orthotics, and Supplies (DMEPOS) which includes items such as wheelchairs, prosthetics, and medical supplies. DMEPOS is a frequent target of fraud and has a high improper payment rate. In Fiscal Year (FY) 2024, CMS identified $1.9 billion (21.4%) in improper payments related to DMEPOS. CMS is taking significant actions to crush fraud conducted by DMEPOS </w:t>
      </w:r>
      <w:r w:rsidR="00CC0A8E" w:rsidRPr="00732721">
        <w:t>suppliers. The traditional fraud detection system takes time and relies heavily on manual audits and retrospective reviews, which are often slow, resource-intensive, and reactive rather preventive.</w:t>
      </w:r>
    </w:p>
    <w:p w14:paraId="4644F4C2" w14:textId="5E889899" w:rsidR="00585F6F" w:rsidRDefault="00585F6F" w:rsidP="00EB511E">
      <w:pPr>
        <w:pStyle w:val="NoSpacing"/>
        <w:jc w:val="center"/>
        <w:rPr>
          <w:color w:val="0F243E" w:themeColor="text2" w:themeShade="80"/>
        </w:rPr>
        <w:sectPr w:rsidR="00585F6F" w:rsidSect="00EB4D9E">
          <w:type w:val="continuous"/>
          <w:pgSz w:w="12240" w:h="15840"/>
          <w:pgMar w:top="1080" w:right="1080" w:bottom="1080" w:left="1080" w:header="720" w:footer="720" w:gutter="0"/>
          <w:cols w:num="2" w:space="720"/>
          <w:docGrid w:linePitch="360"/>
        </w:sectPr>
      </w:pPr>
      <w:r w:rsidRPr="00585F6F">
        <w:rPr>
          <w:b/>
          <w:bCs/>
        </w:rPr>
        <w:t xml:space="preserve">Fig </w:t>
      </w:r>
      <w:r>
        <w:rPr>
          <w:b/>
          <w:bCs/>
        </w:rPr>
        <w:t>1</w:t>
      </w:r>
      <w:r w:rsidRPr="00585F6F">
        <w:rPr>
          <w:b/>
          <w:bCs/>
        </w:rPr>
        <w:t>.</w:t>
      </w:r>
      <w:r>
        <w:rPr>
          <w:b/>
          <w:bCs/>
        </w:rPr>
        <w:t xml:space="preserve"> </w:t>
      </w:r>
      <w:r w:rsidRPr="00585F6F">
        <w:t>Fraud triangle</w:t>
      </w:r>
      <w:r w:rsidR="00F265ED">
        <w:t xml:space="preserve">. Source: </w:t>
      </w:r>
      <w:hyperlink r:id="rId14" w:history="1">
        <w:r w:rsidR="00F265ED" w:rsidRPr="00F265ED">
          <w:rPr>
            <w:rStyle w:val="Hyperlink"/>
          </w:rPr>
          <w:t>Fraud Conference News.</w:t>
        </w:r>
      </w:hyperlink>
    </w:p>
    <w:p w14:paraId="6DCB23F5" w14:textId="597035D3" w:rsidR="00BC587D" w:rsidRDefault="00BC587D" w:rsidP="00BC587D">
      <w:pPr>
        <w:pStyle w:val="Heading2"/>
      </w:pPr>
      <w:r>
        <w:lastRenderedPageBreak/>
        <w:t>FRAUD in america</w:t>
      </w:r>
    </w:p>
    <w:p w14:paraId="42A6767F" w14:textId="15FA9296" w:rsidR="00813F1F" w:rsidRDefault="00813F1F" w:rsidP="00964998">
      <w:r w:rsidRPr="00FD5C73">
        <w:rPr>
          <w:noProof/>
        </w:rPr>
        <w:drawing>
          <wp:anchor distT="0" distB="0" distL="114300" distR="114300" simplePos="0" relativeHeight="251658242" behindDoc="0" locked="0" layoutInCell="1" allowOverlap="1" wp14:anchorId="15C72771" wp14:editId="3554AA60">
            <wp:simplePos x="0" y="0"/>
            <wp:positionH relativeFrom="margin">
              <wp:posOffset>-58479</wp:posOffset>
            </wp:positionH>
            <wp:positionV relativeFrom="page">
              <wp:posOffset>1137684</wp:posOffset>
            </wp:positionV>
            <wp:extent cx="2880995" cy="2721610"/>
            <wp:effectExtent l="0" t="0" r="0" b="2540"/>
            <wp:wrapSquare wrapText="bothSides"/>
            <wp:docPr id="129410522" name="Picture 1" descr="A screenshot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0522" name="Picture 1" descr="A screenshot of a number of numbers&#10;&#10;AI-generated content may be incorrect."/>
                    <pic:cNvPicPr/>
                  </pic:nvPicPr>
                  <pic:blipFill>
                    <a:blip r:embed="rId15"/>
                    <a:stretch>
                      <a:fillRect/>
                    </a:stretch>
                  </pic:blipFill>
                  <pic:spPr>
                    <a:xfrm>
                      <a:off x="0" y="0"/>
                      <a:ext cx="2880995" cy="2721610"/>
                    </a:xfrm>
                    <a:prstGeom prst="rect">
                      <a:avLst/>
                    </a:prstGeom>
                  </pic:spPr>
                </pic:pic>
              </a:graphicData>
            </a:graphic>
            <wp14:sizeRelH relativeFrom="margin">
              <wp14:pctWidth>0</wp14:pctWidth>
            </wp14:sizeRelH>
            <wp14:sizeRelV relativeFrom="margin">
              <wp14:pctHeight>0</wp14:pctHeight>
            </wp14:sizeRelV>
          </wp:anchor>
        </w:drawing>
      </w:r>
      <w:r>
        <w:t>Some key findings from our data (2021-2023) are shown here.</w:t>
      </w:r>
    </w:p>
    <w:p w14:paraId="31587540" w14:textId="61E37F77" w:rsidR="000F17AE" w:rsidRDefault="00964998" w:rsidP="000F17AE">
      <w:r w:rsidRPr="00964998">
        <w:t>While the statistics show that only a tiny portion of claims and providers are affected by fraud, it allows us to measure the scale and even assess the risk of the problem, highlighting the services, providers, or payment types that are most vulnerable, enabling targeted oversight.</w:t>
      </w:r>
    </w:p>
    <w:p w14:paraId="4FAA271F" w14:textId="4D72F176" w:rsidR="000F17AE" w:rsidRDefault="00964998">
      <w:r w:rsidRPr="00964998">
        <w:t>Without these figures, it would be quite easy to underestimate the financial and patient-care impact of fraud, even if it is statistically rare, and miss patterns that could prevent and control loss.</w:t>
      </w:r>
    </w:p>
    <w:p w14:paraId="63F51EEE" w14:textId="2C899BB4" w:rsidR="003C7A43" w:rsidRDefault="003C7A43" w:rsidP="007C05BE">
      <w:pPr>
        <w:pStyle w:val="NoSpacing"/>
      </w:pPr>
      <w:r w:rsidRPr="003C7A43">
        <w:rPr>
          <w:b/>
          <w:bCs/>
        </w:rPr>
        <w:t xml:space="preserve">Fig </w:t>
      </w:r>
      <w:r w:rsidR="007C05BE">
        <w:rPr>
          <w:b/>
          <w:bCs/>
        </w:rPr>
        <w:t>2</w:t>
      </w:r>
      <w:r w:rsidRPr="003C7A43">
        <w:rPr>
          <w:b/>
          <w:bCs/>
        </w:rPr>
        <w:t>.</w:t>
      </w:r>
      <w:r w:rsidRPr="003C7A43">
        <w:t xml:space="preserve"> </w:t>
      </w:r>
      <w:r w:rsidR="007C05BE">
        <w:t>Descriptive statistics on excluded providers.</w:t>
      </w:r>
    </w:p>
    <w:p w14:paraId="131CEE58" w14:textId="54334146" w:rsidR="003C7A43" w:rsidRPr="00C301E6" w:rsidRDefault="00BF0E5C" w:rsidP="00C301E6">
      <w:pPr>
        <w:pStyle w:val="Heading2"/>
        <w:sectPr w:rsidR="003C7A43" w:rsidRPr="00C301E6" w:rsidSect="00EB4D9E">
          <w:type w:val="continuous"/>
          <w:pgSz w:w="12240" w:h="15840"/>
          <w:pgMar w:top="1080" w:right="1080" w:bottom="1080" w:left="1080" w:header="720" w:footer="720" w:gutter="0"/>
          <w:cols w:space="720"/>
          <w:docGrid w:linePitch="360"/>
        </w:sectPr>
      </w:pPr>
      <w:r>
        <w:t>Primary DMEPOS Items Targeted by</w:t>
      </w:r>
      <w:r w:rsidR="00B067A9">
        <w:t xml:space="preserve"> EXCLUDED PROVIDER</w:t>
      </w:r>
      <w:r w:rsidR="00C301E6">
        <w:t>S</w:t>
      </w:r>
    </w:p>
    <w:p w14:paraId="4D17E1AD" w14:textId="1EABFA19" w:rsidR="007C05BE" w:rsidRDefault="003C7A43" w:rsidP="00C301E6">
      <w:pPr>
        <w:pStyle w:val="NoSpacing"/>
        <w:jc w:val="center"/>
        <w:rPr>
          <w:rFonts w:cs="Times New Roman"/>
        </w:rPr>
      </w:pPr>
      <w:r>
        <w:rPr>
          <w:rFonts w:cs="Times New Roman"/>
          <w:noProof/>
        </w:rPr>
        <w:drawing>
          <wp:anchor distT="0" distB="0" distL="114300" distR="114300" simplePos="0" relativeHeight="251658244" behindDoc="0" locked="0" layoutInCell="1" allowOverlap="1" wp14:anchorId="6875925C" wp14:editId="697C224B">
            <wp:simplePos x="0" y="0"/>
            <wp:positionH relativeFrom="column">
              <wp:posOffset>558209</wp:posOffset>
            </wp:positionH>
            <wp:positionV relativeFrom="page">
              <wp:posOffset>4391247</wp:posOffset>
            </wp:positionV>
            <wp:extent cx="5273675" cy="3402330"/>
            <wp:effectExtent l="0" t="0" r="3175" b="7620"/>
            <wp:wrapTopAndBottom/>
            <wp:docPr id="760505793"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05793" name="Picture 1" descr="A graph of blue ba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3675" cy="3402330"/>
                    </a:xfrm>
                    <a:prstGeom prst="rect">
                      <a:avLst/>
                    </a:prstGeom>
                  </pic:spPr>
                </pic:pic>
              </a:graphicData>
            </a:graphic>
          </wp:anchor>
        </w:drawing>
      </w:r>
      <w:r w:rsidR="007C05BE" w:rsidRPr="003C7A43">
        <w:rPr>
          <w:b/>
          <w:bCs/>
        </w:rPr>
        <w:t xml:space="preserve">Fig </w:t>
      </w:r>
      <w:r w:rsidR="007C05BE">
        <w:rPr>
          <w:b/>
          <w:bCs/>
        </w:rPr>
        <w:t>3</w:t>
      </w:r>
      <w:r w:rsidR="007C05BE" w:rsidRPr="003C7A43">
        <w:rPr>
          <w:b/>
          <w:bCs/>
        </w:rPr>
        <w:t>.</w:t>
      </w:r>
      <w:r w:rsidR="007C05BE" w:rsidRPr="003C7A43">
        <w:t xml:space="preserve"> </w:t>
      </w:r>
      <w:r w:rsidR="007C05BE">
        <w:t>Descriptive statistics on excluded providers.</w:t>
      </w:r>
    </w:p>
    <w:p w14:paraId="2830EC43" w14:textId="03CF2BF1" w:rsidR="00246FF5" w:rsidRDefault="00246FF5" w:rsidP="00246FF5">
      <w:pPr>
        <w:rPr>
          <w:rFonts w:cs="Times New Roman"/>
        </w:rPr>
      </w:pPr>
      <w:r w:rsidRPr="0071670C">
        <w:rPr>
          <w:rFonts w:cs="Times New Roman"/>
        </w:rPr>
        <w:t xml:space="preserve">This visualization highlights the HCPCS codes most frequently associated with excluded referring providers. Most of these services are related to oxygen supply equipment, which </w:t>
      </w:r>
      <w:r w:rsidR="00C601E2" w:rsidRPr="0071670C">
        <w:rPr>
          <w:rFonts w:cs="Times New Roman"/>
        </w:rPr>
        <w:t>is</w:t>
      </w:r>
      <w:r w:rsidRPr="0071670C">
        <w:rPr>
          <w:rFonts w:cs="Times New Roman"/>
        </w:rPr>
        <w:t xml:space="preserve"> often billed monthly as rentals. This creates opportunities for fraud, either through upcoding or by failing to deliver the billed equipment.</w:t>
      </w:r>
    </w:p>
    <w:p w14:paraId="57F0588B" w14:textId="140C9AA5" w:rsidR="003C7A43" w:rsidRPr="003C7A43" w:rsidRDefault="003C7A43" w:rsidP="003C7A43">
      <w:pPr>
        <w:sectPr w:rsidR="003C7A43" w:rsidRPr="003C7A43" w:rsidSect="003C7A43">
          <w:type w:val="continuous"/>
          <w:pgSz w:w="12240" w:h="15840"/>
          <w:pgMar w:top="1080" w:right="1080" w:bottom="1080" w:left="1080" w:header="720" w:footer="720" w:gutter="0"/>
          <w:cols w:space="720"/>
          <w:docGrid w:linePitch="360"/>
        </w:sectPr>
      </w:pPr>
    </w:p>
    <w:p w14:paraId="74A0DD86" w14:textId="77777777" w:rsidR="007C05BE" w:rsidRDefault="007C05BE">
      <w:pPr>
        <w:rPr>
          <w:caps/>
          <w:spacing w:val="15"/>
        </w:rPr>
      </w:pPr>
      <w:r>
        <w:br w:type="page"/>
      </w:r>
    </w:p>
    <w:p w14:paraId="31B055C0" w14:textId="78A29D3B" w:rsidR="00AC7F6C" w:rsidRDefault="00AC7F6C" w:rsidP="00AC7F6C">
      <w:pPr>
        <w:pStyle w:val="Heading2"/>
      </w:pPr>
      <w:r>
        <w:lastRenderedPageBreak/>
        <w:t>Provider Specialties</w:t>
      </w:r>
    </w:p>
    <w:p w14:paraId="67733AD2" w14:textId="45FAD96E" w:rsidR="001612DD" w:rsidRDefault="00BF0E5C" w:rsidP="00BF0E5C">
      <w:pPr>
        <w:pStyle w:val="ListBullet"/>
        <w:numPr>
          <w:ilvl w:val="0"/>
          <w:numId w:val="0"/>
        </w:numPr>
        <w:rPr>
          <w:noProof/>
        </w:rPr>
      </w:pPr>
      <w:r w:rsidRPr="00BF0E5C">
        <w:t>An analysis of Medicare payment distributions shows that certain provider specialties such as interventional pain management, diagnostic radiology, and clinical cardiac electrophysiology exhibit higher median payment levels and wider variability compared to others. This elevated dispersion suggests that high-volume billing is more common in these specialties, reinforcing the need for specialty-specific peer benchmarking to distinguish legitimate high utilization from potentially abusive or anomalous billing behavior.</w:t>
      </w:r>
    </w:p>
    <w:p w14:paraId="3F3F9153" w14:textId="77777777" w:rsidR="008023BB" w:rsidRDefault="008023BB" w:rsidP="00952EAA">
      <w:pPr>
        <w:pStyle w:val="ListBullet"/>
        <w:numPr>
          <w:ilvl w:val="0"/>
          <w:numId w:val="0"/>
        </w:numPr>
        <w:jc w:val="center"/>
        <w:rPr>
          <w:noProof/>
        </w:rPr>
      </w:pPr>
    </w:p>
    <w:p w14:paraId="75BC8B9E" w14:textId="1CDF57FF" w:rsidR="00AC7F6C" w:rsidRDefault="001612DD" w:rsidP="00952EAA">
      <w:pPr>
        <w:pStyle w:val="ListBullet"/>
        <w:numPr>
          <w:ilvl w:val="0"/>
          <w:numId w:val="0"/>
        </w:numPr>
        <w:jc w:val="center"/>
      </w:pPr>
      <w:r>
        <w:rPr>
          <w:noProof/>
        </w:rPr>
        <w:drawing>
          <wp:inline distT="0" distB="0" distL="0" distR="0" wp14:anchorId="558A37D5" wp14:editId="393E0754">
            <wp:extent cx="5792624" cy="2380593"/>
            <wp:effectExtent l="0" t="0" r="0" b="1270"/>
            <wp:docPr id="84484844" name="drawing" descr="A chart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4844" name="drawing" descr="A chart with different colored squares&#10;&#10;AI-generated content may be incorrect."/>
                    <pic:cNvPicPr/>
                  </pic:nvPicPr>
                  <pic:blipFill rotWithShape="1">
                    <a:blip r:embed="rId17">
                      <a:extLst>
                        <a:ext uri="{28A0092B-C50C-407E-A947-70E740481C1C}">
                          <a14:useLocalDpi xmlns:a14="http://schemas.microsoft.com/office/drawing/2010/main"/>
                        </a:ext>
                      </a:extLst>
                    </a:blip>
                    <a:srcRect l="4872" t="6900" r="6238" b="10676"/>
                    <a:stretch>
                      <a:fillRect/>
                    </a:stretch>
                  </pic:blipFill>
                  <pic:spPr bwMode="auto">
                    <a:xfrm>
                      <a:off x="0" y="0"/>
                      <a:ext cx="5864224" cy="2410019"/>
                    </a:xfrm>
                    <a:prstGeom prst="rect">
                      <a:avLst/>
                    </a:prstGeom>
                    <a:ln>
                      <a:noFill/>
                    </a:ln>
                    <a:extLst>
                      <a:ext uri="{53640926-AAD7-44D8-BBD7-CCE9431645EC}">
                        <a14:shadowObscured xmlns:a14="http://schemas.microsoft.com/office/drawing/2010/main"/>
                      </a:ext>
                    </a:extLst>
                  </pic:spPr>
                </pic:pic>
              </a:graphicData>
            </a:graphic>
          </wp:inline>
        </w:drawing>
      </w:r>
    </w:p>
    <w:p w14:paraId="5D451346" w14:textId="77777777" w:rsidR="00AC7F6C" w:rsidRDefault="00AC7F6C" w:rsidP="00AC7F6C">
      <w:pPr>
        <w:pStyle w:val="NoSpacing"/>
        <w:jc w:val="center"/>
      </w:pPr>
      <w:r w:rsidRPr="00585F6F">
        <w:rPr>
          <w:b/>
          <w:bCs/>
        </w:rPr>
        <w:t xml:space="preserve">Fig </w:t>
      </w:r>
      <w:r>
        <w:rPr>
          <w:b/>
          <w:bCs/>
        </w:rPr>
        <w:t>5</w:t>
      </w:r>
      <w:r w:rsidRPr="00585F6F">
        <w:rPr>
          <w:b/>
          <w:bCs/>
        </w:rPr>
        <w:t>.</w:t>
      </w:r>
      <w:r>
        <w:t xml:space="preserve"> Boxplots by provider specialty.</w:t>
      </w:r>
    </w:p>
    <w:p w14:paraId="49BE06AA" w14:textId="77777777" w:rsidR="00863954" w:rsidRDefault="00863954" w:rsidP="00BF0E5C">
      <w:pPr>
        <w:pStyle w:val="NoSpacing"/>
      </w:pPr>
    </w:p>
    <w:p w14:paraId="65824647" w14:textId="4810C7AF" w:rsidR="0023422E" w:rsidRDefault="0023422E" w:rsidP="0023422E">
      <w:pPr>
        <w:pStyle w:val="Heading2"/>
      </w:pPr>
      <w:r>
        <w:t xml:space="preserve">following characteristics </w:t>
      </w:r>
      <w:r w:rsidR="00EF4AAA">
        <w:t>INDICATIVE OF EXCLUDED PROVIDERS</w:t>
      </w:r>
    </w:p>
    <w:p w14:paraId="32DBA755" w14:textId="5C70B665" w:rsidR="006570A0" w:rsidRDefault="00C2091D" w:rsidP="00F248DC">
      <w:pPr>
        <w:pStyle w:val="ListBullet"/>
        <w:numPr>
          <w:ilvl w:val="0"/>
          <w:numId w:val="0"/>
        </w:numPr>
      </w:pPr>
      <w:r>
        <w:rPr>
          <w:noProof/>
        </w:rPr>
        <w:drawing>
          <wp:anchor distT="0" distB="0" distL="114300" distR="114300" simplePos="0" relativeHeight="251658246" behindDoc="0" locked="0" layoutInCell="1" allowOverlap="1" wp14:anchorId="1F7F67F6" wp14:editId="4408B7A1">
            <wp:simplePos x="0" y="0"/>
            <wp:positionH relativeFrom="margin">
              <wp:posOffset>1489075</wp:posOffset>
            </wp:positionH>
            <wp:positionV relativeFrom="paragraph">
              <wp:posOffset>895350</wp:posOffset>
            </wp:positionV>
            <wp:extent cx="3515995" cy="2569210"/>
            <wp:effectExtent l="0" t="0" r="8255" b="2540"/>
            <wp:wrapTopAndBottom/>
            <wp:docPr id="685096722" name="drawing" descr="A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96722" name="drawing" descr="A graph with text and numbe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515995" cy="2569210"/>
                    </a:xfrm>
                    <a:prstGeom prst="rect">
                      <a:avLst/>
                    </a:prstGeom>
                  </pic:spPr>
                </pic:pic>
              </a:graphicData>
            </a:graphic>
            <wp14:sizeRelH relativeFrom="margin">
              <wp14:pctWidth>0</wp14:pctWidth>
            </wp14:sizeRelH>
            <wp14:sizeRelV relativeFrom="margin">
              <wp14:pctHeight>0</wp14:pctHeight>
            </wp14:sizeRelV>
          </wp:anchor>
        </w:drawing>
      </w:r>
      <w:r w:rsidR="002A61B1" w:rsidRPr="002A61B1">
        <w:t xml:space="preserve">Using current machine learning methodology, </w:t>
      </w:r>
      <w:r w:rsidR="002A61B1">
        <w:t>we used</w:t>
      </w:r>
      <w:r w:rsidR="002A61B1" w:rsidRPr="002A61B1">
        <w:t xml:space="preserve"> XGBoost to </w:t>
      </w:r>
      <w:r w:rsidR="00484C3A">
        <w:t>rank characteristics that differentiate</w:t>
      </w:r>
      <w:r w:rsidR="002A61B1" w:rsidRPr="002A61B1">
        <w:t xml:space="preserve"> between </w:t>
      </w:r>
      <w:r w:rsidR="00484C3A">
        <w:t>OIG excluded</w:t>
      </w:r>
      <w:r w:rsidR="002A61B1" w:rsidRPr="002A61B1">
        <w:t xml:space="preserve"> providers and normal providers. </w:t>
      </w:r>
      <w:r w:rsidRPr="00C2091D">
        <w:t>By far, the most important feature by this metric is the sum of total supplier beneficiaries of a referring provider for a program year. Understanding why this feature contributes so significantly is a matter of future work</w:t>
      </w:r>
    </w:p>
    <w:p w14:paraId="3ED1DC1C" w14:textId="47BF1520" w:rsidR="007C05BE" w:rsidRPr="00B37580" w:rsidRDefault="00C2091D" w:rsidP="00B37580">
      <w:pPr>
        <w:pStyle w:val="NoSpacing"/>
        <w:jc w:val="center"/>
      </w:pPr>
      <w:r w:rsidRPr="00585F6F">
        <w:rPr>
          <w:b/>
          <w:bCs/>
        </w:rPr>
        <w:t xml:space="preserve">Fig </w:t>
      </w:r>
      <w:r>
        <w:rPr>
          <w:b/>
          <w:bCs/>
        </w:rPr>
        <w:t>6</w:t>
      </w:r>
      <w:r w:rsidRPr="00585F6F">
        <w:rPr>
          <w:b/>
          <w:bCs/>
        </w:rPr>
        <w:t>.</w:t>
      </w:r>
      <w:r>
        <w:t xml:space="preserve"> </w:t>
      </w:r>
      <w:r w:rsidR="009B134A" w:rsidRPr="009B134A">
        <w:t>Feature importances of excluded provider classification.</w:t>
      </w:r>
      <w:r w:rsidR="007C05BE">
        <w:br w:type="page"/>
      </w:r>
    </w:p>
    <w:p w14:paraId="51C31928" w14:textId="77777777" w:rsidR="00AC7F6C" w:rsidRDefault="00AC7F6C" w:rsidP="00AC7F6C">
      <w:pPr>
        <w:pStyle w:val="Heading2"/>
      </w:pPr>
      <w:r>
        <w:lastRenderedPageBreak/>
        <w:t>Different RISK factors of fraud</w:t>
      </w:r>
    </w:p>
    <w:p w14:paraId="44A902F3" w14:textId="77777777" w:rsidR="00AC7F6C" w:rsidRDefault="00AC7F6C" w:rsidP="00AC7F6C">
      <w:r w:rsidRPr="00023C55">
        <w:t xml:space="preserve">The </w:t>
      </w:r>
      <w:r>
        <w:t>provider risk score</w:t>
      </w:r>
      <w:r w:rsidRPr="00023C55">
        <w:t xml:space="preserve"> breaks providers into low, medium, and high risk, based on</w:t>
      </w:r>
      <w:r>
        <w:t xml:space="preserve"> various factors. Including</w:t>
      </w:r>
      <w:r w:rsidRPr="00023C55">
        <w:t xml:space="preserve"> where they practice, what they bill for, and how they’ve behaved in the past. A supplier in a county with high poverty and a large senior population, offering a high share of “high-risk” services, money flowing in from manufacturers</w:t>
      </w:r>
      <w:r>
        <w:t xml:space="preserve">, </w:t>
      </w:r>
      <w:r w:rsidRPr="00023C55">
        <w:t xml:space="preserve">history of high billing, lands farther to the outskirts of </w:t>
      </w:r>
      <w:r>
        <w:t>each</w:t>
      </w:r>
      <w:r w:rsidRPr="00023C55">
        <w:t xml:space="preserve"> circle in red. </w:t>
      </w:r>
      <w:r>
        <w:rPr>
          <w:noProof/>
        </w:rPr>
        <w:drawing>
          <wp:anchor distT="0" distB="0" distL="114300" distR="114300" simplePos="0" relativeHeight="251658245" behindDoc="0" locked="0" layoutInCell="1" allowOverlap="1" wp14:anchorId="162E8DA4" wp14:editId="4A945353">
            <wp:simplePos x="0" y="0"/>
            <wp:positionH relativeFrom="column">
              <wp:posOffset>5316</wp:posOffset>
            </wp:positionH>
            <wp:positionV relativeFrom="page">
              <wp:posOffset>2169042</wp:posOffset>
            </wp:positionV>
            <wp:extent cx="6625590" cy="2933065"/>
            <wp:effectExtent l="0" t="0" r="3810" b="635"/>
            <wp:wrapTopAndBottom/>
            <wp:docPr id="173172957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29578" name="Picture 3" descr="A screenshot of a graph&#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b="50696"/>
                    <a:stretch>
                      <a:fillRect/>
                    </a:stretch>
                  </pic:blipFill>
                  <pic:spPr bwMode="auto">
                    <a:xfrm>
                      <a:off x="0" y="0"/>
                      <a:ext cx="6625590" cy="2933065"/>
                    </a:xfrm>
                    <a:prstGeom prst="rect">
                      <a:avLst/>
                    </a:prstGeom>
                    <a:noFill/>
                    <a:ln>
                      <a:noFill/>
                    </a:ln>
                    <a:extLst>
                      <a:ext uri="{53640926-AAD7-44D8-BBD7-CCE9431645EC}">
                        <a14:shadowObscured xmlns:a14="http://schemas.microsoft.com/office/drawing/2010/main"/>
                      </a:ext>
                    </a:extLst>
                  </pic:spPr>
                </pic:pic>
              </a:graphicData>
            </a:graphic>
          </wp:anchor>
        </w:drawing>
      </w:r>
    </w:p>
    <w:p w14:paraId="22E301F1" w14:textId="77777777" w:rsidR="00AC7F6C" w:rsidRDefault="00AC7F6C" w:rsidP="00AC7F6C">
      <w:pPr>
        <w:pStyle w:val="NoSpacing"/>
        <w:jc w:val="center"/>
      </w:pPr>
      <w:r w:rsidRPr="00585F6F">
        <w:rPr>
          <w:b/>
          <w:bCs/>
        </w:rPr>
        <w:t xml:space="preserve">Fig </w:t>
      </w:r>
      <w:r>
        <w:rPr>
          <w:b/>
          <w:bCs/>
        </w:rPr>
        <w:t>4</w:t>
      </w:r>
      <w:r w:rsidRPr="00585F6F">
        <w:rPr>
          <w:b/>
          <w:bCs/>
        </w:rPr>
        <w:t>.</w:t>
      </w:r>
      <w:r>
        <w:t xml:space="preserve"> Example NPI Radar Charts. The radar chart length is determined by the z score of the average values within each risk factor. The data used here is for example demonstrations only.</w:t>
      </w:r>
    </w:p>
    <w:p w14:paraId="79CE2FF9" w14:textId="77777777" w:rsidR="00AC7F6C" w:rsidRPr="00EA594C" w:rsidRDefault="00AC7F6C" w:rsidP="00AC7F6C">
      <w:pPr>
        <w:pStyle w:val="NoSpacing"/>
        <w:jc w:val="center"/>
      </w:pPr>
      <w:r>
        <w:fldChar w:fldCharType="begin"/>
      </w:r>
      <w:r>
        <w:instrText xml:space="preserve"> LINK Excel.Sheet.12 https://mailmissouri.sharepoint.com/sites/CapstoneTeam-Ogrp/Shared%20Documents/General/Clean%20Data/Risk_Assessment.xlsx Sheet1!R2C1:R8C4 \a \f 5 \h  \* MERGEFORMAT </w:instrText>
      </w:r>
      <w:bookmarkStart w:id="0" w:name="_1827661840"/>
      <w:bookmarkEnd w:id="0"/>
      <w:r>
        <w:fldChar w:fldCharType="separate"/>
      </w:r>
      <w:r>
        <w:fldChar w:fldCharType="end"/>
      </w:r>
      <w:r>
        <w:fldChar w:fldCharType="begin"/>
      </w:r>
      <w:r>
        <w:instrText xml:space="preserve"> LINK Excel.Sheet.12 "https://mailmissouri.sharepoint.com/sites/CapstoneTeam-Ogrp/Shared%20Documents/General/Clean%20Data/Risk_Assessment.xlsx" "New Table!R1C1:R6C4" \a \f 5 \h  \* MERGEFORMAT </w:instrText>
      </w:r>
      <w:r>
        <w:fldChar w:fldCharType="separate"/>
      </w:r>
      <w:bookmarkStart w:id="1" w:name="_1827661843"/>
      <w:bookmarkStart w:id="2" w:name="_1827673009"/>
      <w:bookmarkEnd w:id="1"/>
      <w:bookmarkEnd w:id="2"/>
    </w:p>
    <w:tbl>
      <w:tblPr>
        <w:tblStyle w:val="PlainTable3"/>
        <w:tblW w:w="10128" w:type="dxa"/>
        <w:tblLayout w:type="fixed"/>
        <w:tblLook w:val="04A0" w:firstRow="1" w:lastRow="0" w:firstColumn="1" w:lastColumn="0" w:noHBand="0" w:noVBand="1"/>
      </w:tblPr>
      <w:tblGrid>
        <w:gridCol w:w="2532"/>
        <w:gridCol w:w="2532"/>
        <w:gridCol w:w="2532"/>
        <w:gridCol w:w="2532"/>
      </w:tblGrid>
      <w:tr w:rsidR="00AC7F6C" w:rsidRPr="00A74A6D" w14:paraId="6374EAF1" w14:textId="77777777" w:rsidTr="00F54AB3">
        <w:trPr>
          <w:cnfStyle w:val="100000000000" w:firstRow="1" w:lastRow="0" w:firstColumn="0" w:lastColumn="0" w:oddVBand="0" w:evenVBand="0" w:oddHBand="0" w:evenHBand="0" w:firstRowFirstColumn="0" w:firstRowLastColumn="0" w:lastRowFirstColumn="0" w:lastRowLastColumn="0"/>
          <w:trHeight w:val="531"/>
        </w:trPr>
        <w:tc>
          <w:tcPr>
            <w:cnfStyle w:val="001000000100" w:firstRow="0" w:lastRow="0" w:firstColumn="1" w:lastColumn="0" w:oddVBand="0" w:evenVBand="0" w:oddHBand="0" w:evenHBand="0" w:firstRowFirstColumn="1" w:firstRowLastColumn="0" w:lastRowFirstColumn="0" w:lastRowLastColumn="0"/>
            <w:tcW w:w="2532" w:type="dxa"/>
            <w:noWrap/>
            <w:hideMark/>
          </w:tcPr>
          <w:p w14:paraId="761350D9" w14:textId="77777777" w:rsidR="00AC7F6C" w:rsidRPr="00A74A6D" w:rsidRDefault="00AC7F6C" w:rsidP="00F54AB3">
            <w:pPr>
              <w:rPr>
                <w:sz w:val="20"/>
              </w:rPr>
            </w:pPr>
            <w:r w:rsidRPr="00A74A6D">
              <w:rPr>
                <w:sz w:val="20"/>
              </w:rPr>
              <w:t>Risk Factor</w:t>
            </w:r>
          </w:p>
        </w:tc>
        <w:tc>
          <w:tcPr>
            <w:tcW w:w="2532" w:type="dxa"/>
            <w:noWrap/>
            <w:hideMark/>
          </w:tcPr>
          <w:p w14:paraId="5E119C87" w14:textId="77777777" w:rsidR="00AC7F6C" w:rsidRPr="00A74A6D" w:rsidRDefault="00AC7F6C" w:rsidP="00F54AB3">
            <w:pPr>
              <w:cnfStyle w:val="100000000000" w:firstRow="1" w:lastRow="0" w:firstColumn="0" w:lastColumn="0" w:oddVBand="0" w:evenVBand="0" w:oddHBand="0" w:evenHBand="0" w:firstRowFirstColumn="0" w:firstRowLastColumn="0" w:lastRowFirstColumn="0" w:lastRowLastColumn="0"/>
              <w:rPr>
                <w:sz w:val="20"/>
              </w:rPr>
            </w:pPr>
            <w:r w:rsidRPr="00A74A6D">
              <w:rPr>
                <w:sz w:val="20"/>
              </w:rPr>
              <w:t>Low Risk</w:t>
            </w:r>
          </w:p>
        </w:tc>
        <w:tc>
          <w:tcPr>
            <w:tcW w:w="2532" w:type="dxa"/>
            <w:noWrap/>
            <w:hideMark/>
          </w:tcPr>
          <w:p w14:paraId="64AEBF15" w14:textId="77777777" w:rsidR="00AC7F6C" w:rsidRPr="00A74A6D" w:rsidRDefault="00AC7F6C" w:rsidP="00F54AB3">
            <w:pPr>
              <w:cnfStyle w:val="100000000000" w:firstRow="1" w:lastRow="0" w:firstColumn="0" w:lastColumn="0" w:oddVBand="0" w:evenVBand="0" w:oddHBand="0" w:evenHBand="0" w:firstRowFirstColumn="0" w:firstRowLastColumn="0" w:lastRowFirstColumn="0" w:lastRowLastColumn="0"/>
              <w:rPr>
                <w:sz w:val="20"/>
              </w:rPr>
            </w:pPr>
            <w:r w:rsidRPr="00A74A6D">
              <w:rPr>
                <w:sz w:val="20"/>
              </w:rPr>
              <w:t>Medium Risk</w:t>
            </w:r>
          </w:p>
        </w:tc>
        <w:tc>
          <w:tcPr>
            <w:tcW w:w="2532" w:type="dxa"/>
            <w:noWrap/>
            <w:hideMark/>
          </w:tcPr>
          <w:p w14:paraId="1EE572E1" w14:textId="77777777" w:rsidR="00AC7F6C" w:rsidRPr="00A74A6D" w:rsidRDefault="00AC7F6C" w:rsidP="00F54AB3">
            <w:pPr>
              <w:cnfStyle w:val="100000000000" w:firstRow="1" w:lastRow="0" w:firstColumn="0" w:lastColumn="0" w:oddVBand="0" w:evenVBand="0" w:oddHBand="0" w:evenHBand="0" w:firstRowFirstColumn="0" w:firstRowLastColumn="0" w:lastRowFirstColumn="0" w:lastRowLastColumn="0"/>
              <w:rPr>
                <w:sz w:val="20"/>
              </w:rPr>
            </w:pPr>
            <w:r w:rsidRPr="00A74A6D">
              <w:rPr>
                <w:sz w:val="20"/>
              </w:rPr>
              <w:t>High Risk</w:t>
            </w:r>
          </w:p>
        </w:tc>
      </w:tr>
      <w:tr w:rsidR="00AC7F6C" w:rsidRPr="00A74A6D" w14:paraId="235387CB" w14:textId="77777777" w:rsidTr="00F54AB3">
        <w:trPr>
          <w:cnfStyle w:val="000000100000" w:firstRow="0" w:lastRow="0" w:firstColumn="0" w:lastColumn="0" w:oddVBand="0" w:evenVBand="0" w:oddHBand="1" w:evenHBand="0" w:firstRowFirstColumn="0" w:firstRowLastColumn="0" w:lastRowFirstColumn="0" w:lastRowLastColumn="0"/>
          <w:trHeight w:val="1269"/>
        </w:trPr>
        <w:tc>
          <w:tcPr>
            <w:cnfStyle w:val="001000000000" w:firstRow="0" w:lastRow="0" w:firstColumn="1" w:lastColumn="0" w:oddVBand="0" w:evenVBand="0" w:oddHBand="0" w:evenHBand="0" w:firstRowFirstColumn="0" w:firstRowLastColumn="0" w:lastRowFirstColumn="0" w:lastRowLastColumn="0"/>
            <w:tcW w:w="2532" w:type="dxa"/>
            <w:noWrap/>
            <w:hideMark/>
          </w:tcPr>
          <w:p w14:paraId="17660B27" w14:textId="77777777" w:rsidR="00AC7F6C" w:rsidRPr="00A74A6D" w:rsidRDefault="00AC7F6C" w:rsidP="00F54AB3">
            <w:pPr>
              <w:rPr>
                <w:sz w:val="20"/>
              </w:rPr>
            </w:pPr>
            <w:r w:rsidRPr="00A74A6D">
              <w:rPr>
                <w:sz w:val="20"/>
              </w:rPr>
              <w:t>Geographic &amp; Demographic Risk</w:t>
            </w:r>
          </w:p>
        </w:tc>
        <w:tc>
          <w:tcPr>
            <w:tcW w:w="2532" w:type="dxa"/>
            <w:hideMark/>
          </w:tcPr>
          <w:p w14:paraId="40C6845A" w14:textId="77777777" w:rsidR="00AC7F6C" w:rsidRPr="00A74A6D" w:rsidRDefault="00AC7F6C" w:rsidP="00F54AB3">
            <w:pPr>
              <w:cnfStyle w:val="000000100000" w:firstRow="0" w:lastRow="0" w:firstColumn="0" w:lastColumn="0" w:oddVBand="0" w:evenVBand="0" w:oddHBand="1" w:evenHBand="0" w:firstRowFirstColumn="0" w:firstRowLastColumn="0" w:lastRowFirstColumn="0" w:lastRowLastColumn="0"/>
              <w:rPr>
                <w:sz w:val="20"/>
              </w:rPr>
            </w:pPr>
            <w:r w:rsidRPr="00A74A6D">
              <w:rPr>
                <w:sz w:val="20"/>
              </w:rPr>
              <w:t xml:space="preserve">Provider in county with low poverty </w:t>
            </w:r>
            <w:r w:rsidRPr="00A74A6D">
              <w:rPr>
                <w:sz w:val="20"/>
              </w:rPr>
              <w:br/>
              <w:t xml:space="preserve">Low senior population </w:t>
            </w:r>
            <w:r w:rsidRPr="00A74A6D">
              <w:rPr>
                <w:sz w:val="20"/>
              </w:rPr>
              <w:br/>
              <w:t xml:space="preserve">Low veteran density </w:t>
            </w:r>
          </w:p>
        </w:tc>
        <w:tc>
          <w:tcPr>
            <w:tcW w:w="2532" w:type="dxa"/>
            <w:hideMark/>
          </w:tcPr>
          <w:p w14:paraId="1AD0387B" w14:textId="77777777" w:rsidR="00AC7F6C" w:rsidRPr="00A74A6D" w:rsidRDefault="00AC7F6C" w:rsidP="00F54AB3">
            <w:pPr>
              <w:cnfStyle w:val="000000100000" w:firstRow="0" w:lastRow="0" w:firstColumn="0" w:lastColumn="0" w:oddVBand="0" w:evenVBand="0" w:oddHBand="1" w:evenHBand="0" w:firstRowFirstColumn="0" w:firstRowLastColumn="0" w:lastRowFirstColumn="0" w:lastRowLastColumn="0"/>
              <w:rPr>
                <w:sz w:val="20"/>
              </w:rPr>
            </w:pPr>
            <w:r w:rsidRPr="00A74A6D">
              <w:rPr>
                <w:sz w:val="20"/>
              </w:rPr>
              <w:t>Provider in county with moderate poverty</w:t>
            </w:r>
            <w:r w:rsidRPr="00A74A6D">
              <w:rPr>
                <w:sz w:val="20"/>
              </w:rPr>
              <w:br/>
              <w:t>Moderate senior population</w:t>
            </w:r>
            <w:r w:rsidRPr="00A74A6D">
              <w:rPr>
                <w:sz w:val="20"/>
              </w:rPr>
              <w:br/>
              <w:t>Moderate veteran density</w:t>
            </w:r>
          </w:p>
        </w:tc>
        <w:tc>
          <w:tcPr>
            <w:tcW w:w="2532" w:type="dxa"/>
            <w:hideMark/>
          </w:tcPr>
          <w:p w14:paraId="41137A9C" w14:textId="77777777" w:rsidR="00AC7F6C" w:rsidRPr="00A74A6D" w:rsidRDefault="00AC7F6C" w:rsidP="00F54AB3">
            <w:pPr>
              <w:cnfStyle w:val="000000100000" w:firstRow="0" w:lastRow="0" w:firstColumn="0" w:lastColumn="0" w:oddVBand="0" w:evenVBand="0" w:oddHBand="1" w:evenHBand="0" w:firstRowFirstColumn="0" w:firstRowLastColumn="0" w:lastRowFirstColumn="0" w:lastRowLastColumn="0"/>
              <w:rPr>
                <w:sz w:val="20"/>
              </w:rPr>
            </w:pPr>
            <w:r w:rsidRPr="00A74A6D">
              <w:rPr>
                <w:sz w:val="20"/>
              </w:rPr>
              <w:t>Provider in county with high poverty</w:t>
            </w:r>
            <w:r w:rsidRPr="00A74A6D">
              <w:rPr>
                <w:sz w:val="20"/>
              </w:rPr>
              <w:br/>
              <w:t xml:space="preserve">High senior population </w:t>
            </w:r>
            <w:r w:rsidRPr="00A74A6D">
              <w:rPr>
                <w:sz w:val="20"/>
              </w:rPr>
              <w:br/>
              <w:t>High vet</w:t>
            </w:r>
            <w:r>
              <w:rPr>
                <w:sz w:val="20"/>
              </w:rPr>
              <w:t>e</w:t>
            </w:r>
            <w:r w:rsidRPr="00A74A6D">
              <w:rPr>
                <w:sz w:val="20"/>
              </w:rPr>
              <w:t>ran density</w:t>
            </w:r>
          </w:p>
        </w:tc>
      </w:tr>
      <w:tr w:rsidR="00AC7F6C" w:rsidRPr="00A74A6D" w14:paraId="5FC4DE41" w14:textId="77777777" w:rsidTr="00F54AB3">
        <w:trPr>
          <w:trHeight w:val="1269"/>
        </w:trPr>
        <w:tc>
          <w:tcPr>
            <w:cnfStyle w:val="001000000000" w:firstRow="0" w:lastRow="0" w:firstColumn="1" w:lastColumn="0" w:oddVBand="0" w:evenVBand="0" w:oddHBand="0" w:evenHBand="0" w:firstRowFirstColumn="0" w:firstRowLastColumn="0" w:lastRowFirstColumn="0" w:lastRowLastColumn="0"/>
            <w:tcW w:w="2532" w:type="dxa"/>
            <w:noWrap/>
            <w:hideMark/>
          </w:tcPr>
          <w:p w14:paraId="568D3768" w14:textId="77777777" w:rsidR="00AC7F6C" w:rsidRPr="00A74A6D" w:rsidRDefault="00AC7F6C" w:rsidP="00F54AB3">
            <w:pPr>
              <w:rPr>
                <w:sz w:val="20"/>
              </w:rPr>
            </w:pPr>
            <w:r w:rsidRPr="00A74A6D">
              <w:rPr>
                <w:sz w:val="20"/>
              </w:rPr>
              <w:t>Services Risk</w:t>
            </w:r>
          </w:p>
        </w:tc>
        <w:tc>
          <w:tcPr>
            <w:tcW w:w="2532" w:type="dxa"/>
            <w:hideMark/>
          </w:tcPr>
          <w:p w14:paraId="0293879F" w14:textId="77777777" w:rsidR="00AC7F6C" w:rsidRPr="00A74A6D" w:rsidRDefault="00AC7F6C" w:rsidP="00F54AB3">
            <w:pPr>
              <w:cnfStyle w:val="000000000000" w:firstRow="0" w:lastRow="0" w:firstColumn="0" w:lastColumn="0" w:oddVBand="0" w:evenVBand="0" w:oddHBand="0" w:evenHBand="0" w:firstRowFirstColumn="0" w:firstRowLastColumn="0" w:lastRowFirstColumn="0" w:lastRowLastColumn="0"/>
              <w:rPr>
                <w:sz w:val="20"/>
              </w:rPr>
            </w:pPr>
            <w:r w:rsidRPr="00A74A6D">
              <w:rPr>
                <w:sz w:val="20"/>
              </w:rPr>
              <w:t>Primarily provides Low-risk services</w:t>
            </w:r>
            <w:r w:rsidRPr="00A74A6D">
              <w:rPr>
                <w:sz w:val="20"/>
              </w:rPr>
              <w:br/>
              <w:t>High-risk service percentage &lt; 10% of total services</w:t>
            </w:r>
          </w:p>
        </w:tc>
        <w:tc>
          <w:tcPr>
            <w:tcW w:w="2532" w:type="dxa"/>
            <w:hideMark/>
          </w:tcPr>
          <w:p w14:paraId="70C69562" w14:textId="77777777" w:rsidR="00AC7F6C" w:rsidRPr="00A74A6D" w:rsidRDefault="00AC7F6C" w:rsidP="00F54AB3">
            <w:pPr>
              <w:cnfStyle w:val="000000000000" w:firstRow="0" w:lastRow="0" w:firstColumn="0" w:lastColumn="0" w:oddVBand="0" w:evenVBand="0" w:oddHBand="0" w:evenHBand="0" w:firstRowFirstColumn="0" w:firstRowLastColumn="0" w:lastRowFirstColumn="0" w:lastRowLastColumn="0"/>
              <w:rPr>
                <w:sz w:val="20"/>
              </w:rPr>
            </w:pPr>
            <w:r w:rsidRPr="00A74A6D">
              <w:rPr>
                <w:sz w:val="20"/>
              </w:rPr>
              <w:t>Primarily provides low to moderate - risk services</w:t>
            </w:r>
            <w:r w:rsidRPr="00A74A6D">
              <w:rPr>
                <w:sz w:val="20"/>
              </w:rPr>
              <w:br/>
              <w:t>High-risk service percentage around 10–30% of total services</w:t>
            </w:r>
          </w:p>
        </w:tc>
        <w:tc>
          <w:tcPr>
            <w:tcW w:w="2532" w:type="dxa"/>
            <w:hideMark/>
          </w:tcPr>
          <w:p w14:paraId="0D5DBA68" w14:textId="77777777" w:rsidR="00AC7F6C" w:rsidRPr="00A74A6D" w:rsidRDefault="00AC7F6C" w:rsidP="00F54AB3">
            <w:pPr>
              <w:cnfStyle w:val="000000000000" w:firstRow="0" w:lastRow="0" w:firstColumn="0" w:lastColumn="0" w:oddVBand="0" w:evenVBand="0" w:oddHBand="0" w:evenHBand="0" w:firstRowFirstColumn="0" w:firstRowLastColumn="0" w:lastRowFirstColumn="0" w:lastRowLastColumn="0"/>
              <w:rPr>
                <w:sz w:val="20"/>
              </w:rPr>
            </w:pPr>
            <w:r w:rsidRPr="00A74A6D">
              <w:rPr>
                <w:sz w:val="20"/>
              </w:rPr>
              <w:t>Primarily provides moderate to high - risk services</w:t>
            </w:r>
            <w:r w:rsidRPr="00A74A6D">
              <w:rPr>
                <w:sz w:val="20"/>
              </w:rPr>
              <w:br/>
              <w:t>High-risk service percentage &gt;30% of total services</w:t>
            </w:r>
          </w:p>
        </w:tc>
      </w:tr>
      <w:tr w:rsidR="00AC7F6C" w:rsidRPr="00A74A6D" w14:paraId="3075DD5D" w14:textId="77777777" w:rsidTr="00F54AB3">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2532" w:type="dxa"/>
            <w:noWrap/>
            <w:hideMark/>
          </w:tcPr>
          <w:p w14:paraId="1E8F3F7A" w14:textId="77777777" w:rsidR="00AC7F6C" w:rsidRPr="00A74A6D" w:rsidRDefault="00AC7F6C" w:rsidP="00F54AB3">
            <w:pPr>
              <w:rPr>
                <w:sz w:val="20"/>
              </w:rPr>
            </w:pPr>
            <w:r w:rsidRPr="00A74A6D">
              <w:rPr>
                <w:sz w:val="20"/>
              </w:rPr>
              <w:t>Billing Risk</w:t>
            </w:r>
          </w:p>
        </w:tc>
        <w:tc>
          <w:tcPr>
            <w:tcW w:w="2532" w:type="dxa"/>
            <w:noWrap/>
            <w:hideMark/>
          </w:tcPr>
          <w:p w14:paraId="7882F951" w14:textId="77777777" w:rsidR="00AC7F6C" w:rsidRPr="00A74A6D" w:rsidRDefault="00AC7F6C" w:rsidP="00F54AB3">
            <w:pPr>
              <w:cnfStyle w:val="000000100000" w:firstRow="0" w:lastRow="0" w:firstColumn="0" w:lastColumn="0" w:oddVBand="0" w:evenVBand="0" w:oddHBand="1" w:evenHBand="0" w:firstRowFirstColumn="0" w:firstRowLastColumn="0" w:lastRowFirstColumn="0" w:lastRowLastColumn="0"/>
              <w:rPr>
                <w:sz w:val="20"/>
              </w:rPr>
            </w:pPr>
            <w:r w:rsidRPr="00A74A6D">
              <w:rPr>
                <w:sz w:val="20"/>
              </w:rPr>
              <w:t>Stable billing, no spikes</w:t>
            </w:r>
          </w:p>
        </w:tc>
        <w:tc>
          <w:tcPr>
            <w:tcW w:w="2532" w:type="dxa"/>
            <w:noWrap/>
            <w:hideMark/>
          </w:tcPr>
          <w:p w14:paraId="53A39C00" w14:textId="77777777" w:rsidR="00AC7F6C" w:rsidRPr="00A74A6D" w:rsidRDefault="00AC7F6C" w:rsidP="00F54AB3">
            <w:pPr>
              <w:cnfStyle w:val="000000100000" w:firstRow="0" w:lastRow="0" w:firstColumn="0" w:lastColumn="0" w:oddVBand="0" w:evenVBand="0" w:oddHBand="1" w:evenHBand="0" w:firstRowFirstColumn="0" w:firstRowLastColumn="0" w:lastRowFirstColumn="0" w:lastRowLastColumn="0"/>
              <w:rPr>
                <w:sz w:val="20"/>
              </w:rPr>
            </w:pPr>
            <w:r w:rsidRPr="00A74A6D">
              <w:rPr>
                <w:sz w:val="20"/>
              </w:rPr>
              <w:t>Moderate YOY changes,  high amounts</w:t>
            </w:r>
          </w:p>
        </w:tc>
        <w:tc>
          <w:tcPr>
            <w:tcW w:w="2532" w:type="dxa"/>
            <w:noWrap/>
            <w:hideMark/>
          </w:tcPr>
          <w:p w14:paraId="46A48457" w14:textId="77777777" w:rsidR="00AC7F6C" w:rsidRPr="00A74A6D" w:rsidRDefault="00AC7F6C" w:rsidP="00F54AB3">
            <w:pPr>
              <w:cnfStyle w:val="000000100000" w:firstRow="0" w:lastRow="0" w:firstColumn="0" w:lastColumn="0" w:oddVBand="0" w:evenVBand="0" w:oddHBand="1" w:evenHBand="0" w:firstRowFirstColumn="0" w:firstRowLastColumn="0" w:lastRowFirstColumn="0" w:lastRowLastColumn="0"/>
              <w:rPr>
                <w:sz w:val="20"/>
              </w:rPr>
            </w:pPr>
            <w:r w:rsidRPr="00A74A6D">
              <w:rPr>
                <w:sz w:val="20"/>
              </w:rPr>
              <w:t>Extreme billing spikes, unstable volume, payments drop off</w:t>
            </w:r>
          </w:p>
        </w:tc>
      </w:tr>
      <w:tr w:rsidR="00AC7F6C" w:rsidRPr="00A74A6D" w14:paraId="7DB6C726" w14:textId="77777777" w:rsidTr="00F54AB3">
        <w:trPr>
          <w:trHeight w:val="693"/>
        </w:trPr>
        <w:tc>
          <w:tcPr>
            <w:cnfStyle w:val="001000000000" w:firstRow="0" w:lastRow="0" w:firstColumn="1" w:lastColumn="0" w:oddVBand="0" w:evenVBand="0" w:oddHBand="0" w:evenHBand="0" w:firstRowFirstColumn="0" w:firstRowLastColumn="0" w:lastRowFirstColumn="0" w:lastRowLastColumn="0"/>
            <w:tcW w:w="2532" w:type="dxa"/>
            <w:noWrap/>
            <w:hideMark/>
          </w:tcPr>
          <w:p w14:paraId="34BA17DF" w14:textId="77777777" w:rsidR="00AC7F6C" w:rsidRPr="00A74A6D" w:rsidRDefault="00AC7F6C" w:rsidP="00F54AB3">
            <w:pPr>
              <w:rPr>
                <w:sz w:val="20"/>
              </w:rPr>
            </w:pPr>
            <w:r w:rsidRPr="00A74A6D">
              <w:rPr>
                <w:sz w:val="20"/>
              </w:rPr>
              <w:t>Manufacturer Payments</w:t>
            </w:r>
          </w:p>
        </w:tc>
        <w:tc>
          <w:tcPr>
            <w:tcW w:w="2532" w:type="dxa"/>
            <w:noWrap/>
            <w:hideMark/>
          </w:tcPr>
          <w:p w14:paraId="62328CBE" w14:textId="77777777" w:rsidR="00AC7F6C" w:rsidRPr="00A74A6D" w:rsidRDefault="00AC7F6C" w:rsidP="00F54AB3">
            <w:pPr>
              <w:cnfStyle w:val="000000000000" w:firstRow="0" w:lastRow="0" w:firstColumn="0" w:lastColumn="0" w:oddVBand="0" w:evenVBand="0" w:oddHBand="0" w:evenHBand="0" w:firstRowFirstColumn="0" w:firstRowLastColumn="0" w:lastRowFirstColumn="0" w:lastRowLastColumn="0"/>
              <w:rPr>
                <w:sz w:val="20"/>
              </w:rPr>
            </w:pPr>
            <w:r w:rsidRPr="00A74A6D">
              <w:rPr>
                <w:sz w:val="20"/>
              </w:rPr>
              <w:t>Few or no payments</w:t>
            </w:r>
          </w:p>
        </w:tc>
        <w:tc>
          <w:tcPr>
            <w:tcW w:w="2532" w:type="dxa"/>
            <w:noWrap/>
            <w:hideMark/>
          </w:tcPr>
          <w:p w14:paraId="484E40D8" w14:textId="77777777" w:rsidR="00AC7F6C" w:rsidRPr="00A74A6D" w:rsidRDefault="00AC7F6C" w:rsidP="00F54AB3">
            <w:pPr>
              <w:cnfStyle w:val="000000000000" w:firstRow="0" w:lastRow="0" w:firstColumn="0" w:lastColumn="0" w:oddVBand="0" w:evenVBand="0" w:oddHBand="0" w:evenHBand="0" w:firstRowFirstColumn="0" w:firstRowLastColumn="0" w:lastRowFirstColumn="0" w:lastRowLastColumn="0"/>
              <w:rPr>
                <w:sz w:val="20"/>
              </w:rPr>
            </w:pPr>
            <w:r w:rsidRPr="00A74A6D">
              <w:rPr>
                <w:sz w:val="20"/>
              </w:rPr>
              <w:t>Recurrent small payments</w:t>
            </w:r>
          </w:p>
        </w:tc>
        <w:tc>
          <w:tcPr>
            <w:tcW w:w="2532" w:type="dxa"/>
            <w:noWrap/>
            <w:hideMark/>
          </w:tcPr>
          <w:p w14:paraId="7D1A86EA" w14:textId="77777777" w:rsidR="00AC7F6C" w:rsidRPr="00A74A6D" w:rsidRDefault="00AC7F6C" w:rsidP="00F54AB3">
            <w:pPr>
              <w:cnfStyle w:val="000000000000" w:firstRow="0" w:lastRow="0" w:firstColumn="0" w:lastColumn="0" w:oddVBand="0" w:evenVBand="0" w:oddHBand="0" w:evenHBand="0" w:firstRowFirstColumn="0" w:firstRowLastColumn="0" w:lastRowFirstColumn="0" w:lastRowLastColumn="0"/>
              <w:rPr>
                <w:sz w:val="20"/>
              </w:rPr>
            </w:pPr>
            <w:r w:rsidRPr="00A74A6D">
              <w:rPr>
                <w:sz w:val="20"/>
              </w:rPr>
              <w:t>Large/recurring payments, ownership</w:t>
            </w:r>
          </w:p>
        </w:tc>
      </w:tr>
      <w:tr w:rsidR="00AC7F6C" w:rsidRPr="00A74A6D" w14:paraId="24EF7DBA" w14:textId="77777777" w:rsidTr="00F54AB3">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2532" w:type="dxa"/>
            <w:noWrap/>
            <w:hideMark/>
          </w:tcPr>
          <w:p w14:paraId="6802FEA7" w14:textId="77777777" w:rsidR="00AC7F6C" w:rsidRPr="00A74A6D" w:rsidRDefault="00AC7F6C" w:rsidP="00F54AB3">
            <w:pPr>
              <w:rPr>
                <w:sz w:val="20"/>
              </w:rPr>
            </w:pPr>
            <w:r w:rsidRPr="00A74A6D">
              <w:rPr>
                <w:sz w:val="20"/>
              </w:rPr>
              <w:t>Ensemble Anomaly Score</w:t>
            </w:r>
          </w:p>
        </w:tc>
        <w:tc>
          <w:tcPr>
            <w:tcW w:w="2532" w:type="dxa"/>
            <w:noWrap/>
            <w:hideMark/>
          </w:tcPr>
          <w:p w14:paraId="55F044A1" w14:textId="77777777" w:rsidR="00AC7F6C" w:rsidRPr="00A74A6D" w:rsidRDefault="00AC7F6C" w:rsidP="00F54AB3">
            <w:pPr>
              <w:cnfStyle w:val="000000100000" w:firstRow="0" w:lastRow="0" w:firstColumn="0" w:lastColumn="0" w:oddVBand="0" w:evenVBand="0" w:oddHBand="1" w:evenHBand="0" w:firstRowFirstColumn="0" w:firstRowLastColumn="0" w:lastRowFirstColumn="0" w:lastRowLastColumn="0"/>
              <w:rPr>
                <w:sz w:val="20"/>
              </w:rPr>
            </w:pPr>
            <w:r w:rsidRPr="00A74A6D">
              <w:rPr>
                <w:sz w:val="20"/>
              </w:rPr>
              <w:t>Consistent with peers</w:t>
            </w:r>
          </w:p>
        </w:tc>
        <w:tc>
          <w:tcPr>
            <w:tcW w:w="2532" w:type="dxa"/>
            <w:noWrap/>
            <w:hideMark/>
          </w:tcPr>
          <w:p w14:paraId="7D85A6E8" w14:textId="77777777" w:rsidR="00AC7F6C" w:rsidRPr="00A74A6D" w:rsidRDefault="00AC7F6C" w:rsidP="00F54AB3">
            <w:pPr>
              <w:cnfStyle w:val="000000100000" w:firstRow="0" w:lastRow="0" w:firstColumn="0" w:lastColumn="0" w:oddVBand="0" w:evenVBand="0" w:oddHBand="1" w:evenHBand="0" w:firstRowFirstColumn="0" w:firstRowLastColumn="0" w:lastRowFirstColumn="0" w:lastRowLastColumn="0"/>
              <w:rPr>
                <w:sz w:val="20"/>
              </w:rPr>
            </w:pPr>
            <w:r w:rsidRPr="00A74A6D">
              <w:rPr>
                <w:sz w:val="20"/>
              </w:rPr>
              <w:t>Mixed anomaly signals</w:t>
            </w:r>
          </w:p>
        </w:tc>
        <w:tc>
          <w:tcPr>
            <w:tcW w:w="2532" w:type="dxa"/>
            <w:noWrap/>
            <w:hideMark/>
          </w:tcPr>
          <w:p w14:paraId="0B610AFF" w14:textId="77777777" w:rsidR="00AC7F6C" w:rsidRPr="00A74A6D" w:rsidRDefault="00AC7F6C" w:rsidP="00F54AB3">
            <w:pPr>
              <w:cnfStyle w:val="000000100000" w:firstRow="0" w:lastRow="0" w:firstColumn="0" w:lastColumn="0" w:oddVBand="0" w:evenVBand="0" w:oddHBand="1" w:evenHBand="0" w:firstRowFirstColumn="0" w:firstRowLastColumn="0" w:lastRowFirstColumn="0" w:lastRowLastColumn="0"/>
              <w:rPr>
                <w:sz w:val="20"/>
              </w:rPr>
            </w:pPr>
            <w:r w:rsidRPr="00A74A6D">
              <w:rPr>
                <w:sz w:val="20"/>
              </w:rPr>
              <w:t>Strong anomalies across multiple models</w:t>
            </w:r>
          </w:p>
        </w:tc>
      </w:tr>
    </w:tbl>
    <w:p w14:paraId="7F253730" w14:textId="12B71F0A" w:rsidR="00AC7F6C" w:rsidRDefault="00AC7F6C">
      <w:pPr>
        <w:rPr>
          <w:caps/>
          <w:spacing w:val="15"/>
        </w:rPr>
      </w:pPr>
      <w:r>
        <w:fldChar w:fldCharType="end"/>
      </w:r>
      <w:r>
        <w:br w:type="page"/>
      </w:r>
    </w:p>
    <w:p w14:paraId="52999667" w14:textId="5044EC2C" w:rsidR="008E76BA" w:rsidRDefault="003C7A43" w:rsidP="008E76BA">
      <w:pPr>
        <w:pStyle w:val="Heading2"/>
      </w:pPr>
      <w:r>
        <w:lastRenderedPageBreak/>
        <w:t>PAYMENTS SPIKE SPOTLIGHT</w:t>
      </w:r>
    </w:p>
    <w:p w14:paraId="03826D62" w14:textId="10CF42DD" w:rsidR="0020696B" w:rsidRDefault="004C6D6D" w:rsidP="003C7A43">
      <w:r w:rsidRPr="004C6D6D">
        <w:t xml:space="preserve">These </w:t>
      </w:r>
      <w:r w:rsidR="0020696B">
        <w:t>providers</w:t>
      </w:r>
      <w:r w:rsidRPr="004C6D6D">
        <w:t xml:space="preserve"> show distinct billing spikes, or quarters where payments</w:t>
      </w:r>
      <w:r w:rsidR="002B593D">
        <w:t xml:space="preserve"> from manufacturers</w:t>
      </w:r>
      <w:r w:rsidRPr="004C6D6D">
        <w:t xml:space="preserve"> are significantly higher than their own </w:t>
      </w:r>
      <w:r w:rsidR="002B593D">
        <w:t xml:space="preserve">payment </w:t>
      </w:r>
      <w:r w:rsidRPr="004C6D6D">
        <w:t xml:space="preserve">history based on a 4-quarter rolling z-score. In practice, these spikes may reflect true changes in activity (e.g., new </w:t>
      </w:r>
      <w:r w:rsidR="00C62DCC">
        <w:t>product</w:t>
      </w:r>
      <w:r w:rsidR="002D4D8E">
        <w:t xml:space="preserve"> advertisements</w:t>
      </w:r>
      <w:r w:rsidRPr="004C6D6D">
        <w:t>, seasonal programs, or one-</w:t>
      </w:r>
      <w:r w:rsidR="0041791F" w:rsidRPr="004C6D6D">
        <w:t>off</w:t>
      </w:r>
      <w:r w:rsidR="0041791F">
        <w:t xml:space="preserve"> </w:t>
      </w:r>
      <w:r w:rsidR="0041791F" w:rsidRPr="004C6D6D">
        <w:t>speaker</w:t>
      </w:r>
      <w:r w:rsidR="00526080">
        <w:t xml:space="preserve"> </w:t>
      </w:r>
      <w:r w:rsidRPr="004C6D6D">
        <w:t xml:space="preserve">events) or potential anomalies that warrant follow-up. </w:t>
      </w:r>
      <w:r w:rsidR="0020696B">
        <w:t>Providers</w:t>
      </w:r>
      <w:r w:rsidRPr="004C6D6D">
        <w:t xml:space="preserve"> with multiple spike quarters are especially important to review, since outliers suggest a shift in billing behavior.</w:t>
      </w:r>
    </w:p>
    <w:p w14:paraId="6D1E46CD" w14:textId="33168F41" w:rsidR="003C7A43" w:rsidRDefault="003C7A43" w:rsidP="003C7A43">
      <w:r>
        <w:rPr>
          <w:noProof/>
        </w:rPr>
        <w:drawing>
          <wp:inline distT="0" distB="0" distL="0" distR="0" wp14:anchorId="735EC877" wp14:editId="50F039E5">
            <wp:extent cx="6399837" cy="2352675"/>
            <wp:effectExtent l="0" t="0" r="1270" b="0"/>
            <wp:docPr id="1726619304" name="Picture 5"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19304" name="Picture 5" descr="A graph of a graph&#10;&#10;AI-generated content may be incorrect."/>
                    <pic:cNvPicPr>
                      <a:picLocks noChangeAspect="1" noChangeArrowheads="1"/>
                    </pic:cNvPicPr>
                  </pic:nvPicPr>
                  <pic:blipFill rotWithShape="1">
                    <a:blip r:embed="rId20">
                      <a:extLst>
                        <a:ext uri="{28A0092B-C50C-407E-A947-70E740481C1C}">
                          <a14:useLocalDpi xmlns:a14="http://schemas.microsoft.com/office/drawing/2010/main" val="0"/>
                        </a:ext>
                      </a:extLst>
                    </a:blip>
                    <a:srcRect t="4323"/>
                    <a:stretch>
                      <a:fillRect/>
                    </a:stretch>
                  </pic:blipFill>
                  <pic:spPr bwMode="auto">
                    <a:xfrm>
                      <a:off x="0" y="0"/>
                      <a:ext cx="6410811" cy="2356709"/>
                    </a:xfrm>
                    <a:prstGeom prst="rect">
                      <a:avLst/>
                    </a:prstGeom>
                    <a:noFill/>
                    <a:ln>
                      <a:noFill/>
                    </a:ln>
                    <a:extLst>
                      <a:ext uri="{53640926-AAD7-44D8-BBD7-CCE9431645EC}">
                        <a14:shadowObscured xmlns:a14="http://schemas.microsoft.com/office/drawing/2010/main"/>
                      </a:ext>
                    </a:extLst>
                  </pic:spPr>
                </pic:pic>
              </a:graphicData>
            </a:graphic>
          </wp:inline>
        </w:drawing>
      </w:r>
    </w:p>
    <w:p w14:paraId="7B9F87BC" w14:textId="337E5AF4" w:rsidR="00A64A10" w:rsidRDefault="00A64A10" w:rsidP="009B4B7F">
      <w:pPr>
        <w:pStyle w:val="NoSpacing"/>
        <w:jc w:val="center"/>
      </w:pPr>
      <w:r w:rsidRPr="00585F6F">
        <w:rPr>
          <w:b/>
          <w:bCs/>
        </w:rPr>
        <w:t xml:space="preserve">Fig </w:t>
      </w:r>
      <w:r>
        <w:rPr>
          <w:b/>
          <w:bCs/>
        </w:rPr>
        <w:t>6</w:t>
      </w:r>
      <w:r w:rsidRPr="00585F6F">
        <w:rPr>
          <w:b/>
          <w:bCs/>
        </w:rPr>
        <w:t>.</w:t>
      </w:r>
      <w:r>
        <w:t xml:space="preserve"> </w:t>
      </w:r>
      <w:r w:rsidR="00774794">
        <w:t>Top 10 NPIs with manufacturing payment spikes.</w:t>
      </w:r>
    </w:p>
    <w:p w14:paraId="4E5E0B47" w14:textId="77777777" w:rsidR="00B34F4B" w:rsidRDefault="00B34F4B" w:rsidP="009B4B7F">
      <w:pPr>
        <w:pStyle w:val="NoSpacing"/>
        <w:jc w:val="center"/>
      </w:pPr>
    </w:p>
    <w:p w14:paraId="5EFA3E20" w14:textId="34890854" w:rsidR="004A6F62" w:rsidRDefault="00B34F4B">
      <w:pPr>
        <w:pStyle w:val="Heading1"/>
      </w:pPr>
      <w:r>
        <w:t>Conclusion</w:t>
      </w:r>
    </w:p>
    <w:p w14:paraId="1B416488" w14:textId="41A91A56" w:rsidR="00BD0FC8" w:rsidRDefault="00B554E5">
      <w:r>
        <w:rPr>
          <w:noProof/>
        </w:rPr>
        <mc:AlternateContent>
          <mc:Choice Requires="wps">
            <w:drawing>
              <wp:anchor distT="182880" distB="182880" distL="182880" distR="182880" simplePos="0" relativeHeight="251658241" behindDoc="0" locked="0" layoutInCell="1" allowOverlap="1" wp14:anchorId="7D15F5E0" wp14:editId="0F641DDA">
                <wp:simplePos x="0" y="0"/>
                <wp:positionH relativeFrom="margin">
                  <wp:align>left</wp:align>
                </wp:positionH>
                <wp:positionV relativeFrom="margin">
                  <wp:posOffset>7308767</wp:posOffset>
                </wp:positionV>
                <wp:extent cx="6251575" cy="1095375"/>
                <wp:effectExtent l="0" t="0" r="0" b="9525"/>
                <wp:wrapSquare wrapText="bothSides"/>
                <wp:docPr id="1324965816" name="Snip Single Corner Rectangle 118"/>
                <wp:cNvGraphicFramePr/>
                <a:graphic xmlns:a="http://schemas.openxmlformats.org/drawingml/2006/main">
                  <a:graphicData uri="http://schemas.microsoft.com/office/word/2010/wordprocessingShape">
                    <wps:wsp>
                      <wps:cNvSpPr/>
                      <wps:spPr>
                        <a:xfrm>
                          <a:off x="0" y="0"/>
                          <a:ext cx="6251575" cy="1095375"/>
                        </a:xfrm>
                        <a:prstGeom prst="snip1Rect">
                          <a:avLst/>
                        </a:prstGeom>
                        <a:gradFill flip="none" rotWithShape="1">
                          <a:gsLst>
                            <a:gs pos="0">
                              <a:schemeClr val="tx2">
                                <a:lumMod val="60000"/>
                                <a:lumOff val="40000"/>
                                <a:alpha val="20000"/>
                              </a:schemeClr>
                            </a:gs>
                            <a:gs pos="100000">
                              <a:schemeClr val="tx2">
                                <a:lumMod val="20000"/>
                                <a:lumOff val="80000"/>
                                <a:alpha val="20000"/>
                              </a:schemeClr>
                            </a:gs>
                          </a:gsLst>
                          <a:lin ang="5400000" scaled="0"/>
                          <a:tileRect/>
                        </a:gra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36BA6E81" w14:textId="77777777" w:rsidR="00BD0FC8" w:rsidRPr="00BD0FC8" w:rsidRDefault="00BD0FC8" w:rsidP="00BD0FC8">
                            <w:pPr>
                              <w:rPr>
                                <w:color w:val="1F497D" w:themeColor="text2"/>
                                <w:szCs w:val="24"/>
                              </w:rPr>
                            </w:pPr>
                            <w:r w:rsidRPr="00BD0FC8">
                              <w:rPr>
                                <w:color w:val="1F497D" w:themeColor="text2"/>
                                <w:szCs w:val="24"/>
                              </w:rPr>
                              <w:t>Preventing Healthcare Fraud</w:t>
                            </w:r>
                          </w:p>
                          <w:p w14:paraId="292E0E13" w14:textId="77777777" w:rsidR="00BD0FC8" w:rsidRDefault="00BD0FC8" w:rsidP="00BD0FC8">
                            <w:pPr>
                              <w:rPr>
                                <w:color w:val="0F243E" w:themeColor="text2" w:themeShade="80"/>
                              </w:rPr>
                            </w:pPr>
                            <w:r w:rsidRPr="00B91F92">
                              <w:rPr>
                                <w:color w:val="0F243E" w:themeColor="text2" w:themeShade="80"/>
                              </w:rPr>
                              <w:t>If you suspect DMEPOS fraud, contact your provider or supplier or report it at cms.gov/fraud or by calling 1-800-MEDICARE.</w:t>
                            </w:r>
                          </w:p>
                        </w:txbxContent>
                      </wps:txbx>
                      <wps:bodyPr rot="0" spcFirstLastPara="0" vertOverflow="overflow" horzOverflow="overflow" vert="horz" wrap="square" lIns="228600" tIns="91440" rIns="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5F5E0" id="_x0000_s1027" style="position:absolute;margin-left:0;margin-top:575.5pt;width:492.25pt;height:86.25pt;z-index:251658241;visibility:visible;mso-wrap-style:square;mso-width-percent:0;mso-height-percent:0;mso-wrap-distance-left:14.4pt;mso-wrap-distance-top:14.4pt;mso-wrap-distance-right:14.4pt;mso-wrap-distance-bottom:14.4pt;mso-position-horizontal:left;mso-position-horizontal-relative:margin;mso-position-vertical:absolute;mso-position-vertical-relative:margin;mso-width-percent:0;mso-height-percent:0;mso-width-relative:margin;mso-height-relative:margin;v-text-anchor:top" coordsize="6251575,1095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" adj="-11796480,,5400" path="m,l6069009,r182566,182566l6251575,1095375,,1095375,,xe" fillcolor="#548dd4 [1951]" stroked="f" strokeweight="2pt">
                <v:fill opacity="13107f" color2="#c6d9f1 [671]" o:opacity2="13107f" rotate="t" focus="100%" type="gradient">
                  <o:fill v:ext="view" type="gradientUnscaled"/>
                </v:fill>
                <v:stroke joinstyle="miter"/>
                <v:formulas/>
                <v:path arrowok="t" o:connecttype="custom" o:connectlocs="0,0;6069009,0;6251575,182566;6251575,1095375;0,1095375;0,0" o:connectangles="0,0,0,0,0,0" textboxrect="0,0,6251575,1095375"/>
                <v:textbox inset="18pt,7.2pt,0,7.2pt">
                  <w:txbxContent>
                    <w:p w14:paraId="36BA6E81" w14:textId="77777777" w:rsidR="00BD0FC8" w:rsidRPr="00BD0FC8" w:rsidRDefault="00BD0FC8" w:rsidP="00BD0FC8">
                      <w:pPr>
                        <w:rPr>
                          <w:color w:val="1F497D" w:themeColor="text2"/>
                          <w:szCs w:val="24"/>
                        </w:rPr>
                      </w:pPr>
                      <w:r w:rsidRPr="00BD0FC8">
                        <w:rPr>
                          <w:color w:val="1F497D" w:themeColor="text2"/>
                          <w:szCs w:val="24"/>
                        </w:rPr>
                        <w:t>Preventing Healthcare Fraud</w:t>
                      </w:r>
                    </w:p>
                    <w:p w14:paraId="292E0E13" w14:textId="77777777" w:rsidR="00BD0FC8" w:rsidRDefault="00BD0FC8" w:rsidP="00BD0FC8">
                      <w:pPr>
                        <w:rPr>
                          <w:color w:val="0F243E" w:themeColor="text2" w:themeShade="80"/>
                        </w:rPr>
                      </w:pPr>
                      <w:r w:rsidRPr="00B91F92">
                        <w:rPr>
                          <w:color w:val="0F243E" w:themeColor="text2" w:themeShade="80"/>
                        </w:rPr>
                        <w:t>If you suspect DMEPOS fraud, contact your provider or supplier or report it at cms.gov/fraud or by calling 1-800-MEDICARE.</w:t>
                      </w:r>
                    </w:p>
                  </w:txbxContent>
                </v:textbox>
                <w10:wrap type="square" anchorx="margin" anchory="margin"/>
              </v:shape>
            </w:pict>
          </mc:Fallback>
        </mc:AlternateContent>
      </w:r>
      <w:r w:rsidR="00B34F4B">
        <w:t>By combining descriptive analytics, feature ranking, and anomaly detection methods, we developed a framework that enhances the ability of oversight teams to identify suspicious behavior and prioritize cases for review. While this system does not predict fraud, it reveals the structural, financial, and behavioral markers that consistently align with confirmed cases. These insights help lay the groundwork for more efficient, proactive, and data-informed antifraud efforts.</w:t>
      </w:r>
    </w:p>
    <w:sectPr w:rsidR="00BD0FC8" w:rsidSect="00EB4D9E">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76CB8" w14:textId="77777777" w:rsidR="00464CC4" w:rsidRDefault="00464CC4">
      <w:pPr>
        <w:spacing w:before="0" w:after="0" w:line="240" w:lineRule="auto"/>
      </w:pPr>
      <w:r>
        <w:separator/>
      </w:r>
    </w:p>
  </w:endnote>
  <w:endnote w:type="continuationSeparator" w:id="0">
    <w:p w14:paraId="312F8862" w14:textId="77777777" w:rsidR="00464CC4" w:rsidRDefault="00464C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5AAF" w14:textId="77777777" w:rsidR="004A6F62" w:rsidRDefault="00A81B47">
    <w:pPr>
      <w:pStyle w:val="Footer"/>
      <w:jc w:val="center"/>
    </w:pPr>
    <w:r>
      <w:t xml:space="preserve">Page </w:t>
    </w:r>
    <w:r>
      <w:fldChar w:fldCharType="begin"/>
    </w:r>
    <w:r>
      <w:instrText>PAGE</w:instrText>
    </w:r>
    <w:r>
      <w:fldChar w:fldCharType="separate"/>
    </w:r>
    <w:r w:rsidR="00305F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F1074" w14:textId="77777777" w:rsidR="00464CC4" w:rsidRDefault="00464CC4">
      <w:pPr>
        <w:spacing w:before="0" w:after="0" w:line="240" w:lineRule="auto"/>
      </w:pPr>
      <w:r>
        <w:separator/>
      </w:r>
    </w:p>
  </w:footnote>
  <w:footnote w:type="continuationSeparator" w:id="0">
    <w:p w14:paraId="22B47105" w14:textId="77777777" w:rsidR="00464CC4" w:rsidRDefault="00464CC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CDD5A" w14:textId="01F872FA" w:rsidR="004A6F62" w:rsidRDefault="004A6F6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E54C2F8"/>
    <w:lvl w:ilvl="0">
      <w:start w:val="1"/>
      <w:numFmt w:val="bullet"/>
      <w:pStyle w:val="ListBullet"/>
      <w:lvlText w:val=""/>
      <w:lvlJc w:val="left"/>
      <w:pPr>
        <w:tabs>
          <w:tab w:val="num" w:pos="360"/>
        </w:tabs>
        <w:ind w:left="360" w:hanging="360"/>
      </w:pPr>
      <w:rPr>
        <w:rFonts w:ascii="Symbol" w:hAnsi="Symbol" w:hint="default"/>
      </w:rPr>
    </w:lvl>
  </w:abstractNum>
  <w:num w:numId="1" w16cid:durableId="445854731">
    <w:abstractNumId w:val="8"/>
  </w:num>
  <w:num w:numId="2" w16cid:durableId="484664767">
    <w:abstractNumId w:val="6"/>
  </w:num>
  <w:num w:numId="3" w16cid:durableId="518009524">
    <w:abstractNumId w:val="5"/>
  </w:num>
  <w:num w:numId="4" w16cid:durableId="8214724">
    <w:abstractNumId w:val="4"/>
  </w:num>
  <w:num w:numId="5" w16cid:durableId="995307576">
    <w:abstractNumId w:val="7"/>
  </w:num>
  <w:num w:numId="6" w16cid:durableId="788933288">
    <w:abstractNumId w:val="3"/>
  </w:num>
  <w:num w:numId="7" w16cid:durableId="2138527713">
    <w:abstractNumId w:val="2"/>
  </w:num>
  <w:num w:numId="8" w16cid:durableId="1698895462">
    <w:abstractNumId w:val="1"/>
  </w:num>
  <w:num w:numId="9" w16cid:durableId="858857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8F0"/>
    <w:rsid w:val="00023C55"/>
    <w:rsid w:val="00024317"/>
    <w:rsid w:val="00034616"/>
    <w:rsid w:val="000404AF"/>
    <w:rsid w:val="0006063C"/>
    <w:rsid w:val="000759FA"/>
    <w:rsid w:val="00080DDC"/>
    <w:rsid w:val="000A28FC"/>
    <w:rsid w:val="000A6403"/>
    <w:rsid w:val="000A79EB"/>
    <w:rsid w:val="000C107C"/>
    <w:rsid w:val="000C10B4"/>
    <w:rsid w:val="000C7049"/>
    <w:rsid w:val="000E2DB4"/>
    <w:rsid w:val="000F17AE"/>
    <w:rsid w:val="001044AE"/>
    <w:rsid w:val="00104F30"/>
    <w:rsid w:val="00125000"/>
    <w:rsid w:val="001477B0"/>
    <w:rsid w:val="0015074B"/>
    <w:rsid w:val="001612DD"/>
    <w:rsid w:val="00184806"/>
    <w:rsid w:val="00194A8C"/>
    <w:rsid w:val="001B7D67"/>
    <w:rsid w:val="001F34F9"/>
    <w:rsid w:val="00205AE5"/>
    <w:rsid w:val="0020696B"/>
    <w:rsid w:val="0022020E"/>
    <w:rsid w:val="00227936"/>
    <w:rsid w:val="0023422E"/>
    <w:rsid w:val="0023638A"/>
    <w:rsid w:val="00236D74"/>
    <w:rsid w:val="00246FF5"/>
    <w:rsid w:val="00256BD2"/>
    <w:rsid w:val="00261828"/>
    <w:rsid w:val="002751B3"/>
    <w:rsid w:val="0029639D"/>
    <w:rsid w:val="002A61B1"/>
    <w:rsid w:val="002B56F0"/>
    <w:rsid w:val="002B593D"/>
    <w:rsid w:val="002D4D8E"/>
    <w:rsid w:val="002D644B"/>
    <w:rsid w:val="002E3841"/>
    <w:rsid w:val="002F26BD"/>
    <w:rsid w:val="003001CA"/>
    <w:rsid w:val="00305FCB"/>
    <w:rsid w:val="003263C0"/>
    <w:rsid w:val="00326F90"/>
    <w:rsid w:val="00353B90"/>
    <w:rsid w:val="0038672B"/>
    <w:rsid w:val="003944C8"/>
    <w:rsid w:val="003B6081"/>
    <w:rsid w:val="003C7A43"/>
    <w:rsid w:val="003D062C"/>
    <w:rsid w:val="003D3E75"/>
    <w:rsid w:val="003E01C1"/>
    <w:rsid w:val="00404BB2"/>
    <w:rsid w:val="0041791F"/>
    <w:rsid w:val="00421426"/>
    <w:rsid w:val="00421570"/>
    <w:rsid w:val="004258F2"/>
    <w:rsid w:val="004312A4"/>
    <w:rsid w:val="00440947"/>
    <w:rsid w:val="0044335C"/>
    <w:rsid w:val="00445244"/>
    <w:rsid w:val="00464CC4"/>
    <w:rsid w:val="004763DD"/>
    <w:rsid w:val="00484C3A"/>
    <w:rsid w:val="004946E2"/>
    <w:rsid w:val="004A19A1"/>
    <w:rsid w:val="004A6F62"/>
    <w:rsid w:val="004C58E4"/>
    <w:rsid w:val="004C6D6D"/>
    <w:rsid w:val="004D193D"/>
    <w:rsid w:val="00510676"/>
    <w:rsid w:val="00526080"/>
    <w:rsid w:val="005530CA"/>
    <w:rsid w:val="00553630"/>
    <w:rsid w:val="00565900"/>
    <w:rsid w:val="0058064C"/>
    <w:rsid w:val="00582A0A"/>
    <w:rsid w:val="00585F6F"/>
    <w:rsid w:val="00587A5C"/>
    <w:rsid w:val="00596632"/>
    <w:rsid w:val="005B0513"/>
    <w:rsid w:val="005B735A"/>
    <w:rsid w:val="006003F3"/>
    <w:rsid w:val="0060471F"/>
    <w:rsid w:val="00613C08"/>
    <w:rsid w:val="00636954"/>
    <w:rsid w:val="0065422C"/>
    <w:rsid w:val="006570A0"/>
    <w:rsid w:val="006B6271"/>
    <w:rsid w:val="006E3906"/>
    <w:rsid w:val="00714564"/>
    <w:rsid w:val="00732721"/>
    <w:rsid w:val="007419E2"/>
    <w:rsid w:val="00743FD2"/>
    <w:rsid w:val="00757385"/>
    <w:rsid w:val="00774794"/>
    <w:rsid w:val="00782FF7"/>
    <w:rsid w:val="007838D7"/>
    <w:rsid w:val="00785B89"/>
    <w:rsid w:val="007A0661"/>
    <w:rsid w:val="007C05BE"/>
    <w:rsid w:val="007C5B25"/>
    <w:rsid w:val="007F532F"/>
    <w:rsid w:val="008023BB"/>
    <w:rsid w:val="00813F1F"/>
    <w:rsid w:val="008213C8"/>
    <w:rsid w:val="00824ED0"/>
    <w:rsid w:val="00863954"/>
    <w:rsid w:val="00870431"/>
    <w:rsid w:val="008743CE"/>
    <w:rsid w:val="008B1523"/>
    <w:rsid w:val="008B3DA9"/>
    <w:rsid w:val="008C4B15"/>
    <w:rsid w:val="008E76BA"/>
    <w:rsid w:val="008F0B12"/>
    <w:rsid w:val="00915BE1"/>
    <w:rsid w:val="00916DB1"/>
    <w:rsid w:val="0093031A"/>
    <w:rsid w:val="00952EAA"/>
    <w:rsid w:val="00964998"/>
    <w:rsid w:val="00973D1E"/>
    <w:rsid w:val="009760EC"/>
    <w:rsid w:val="009877C0"/>
    <w:rsid w:val="00993993"/>
    <w:rsid w:val="009A1E3C"/>
    <w:rsid w:val="009A6AFF"/>
    <w:rsid w:val="009B134A"/>
    <w:rsid w:val="009B4B7F"/>
    <w:rsid w:val="009C24FF"/>
    <w:rsid w:val="00A457C6"/>
    <w:rsid w:val="00A64A10"/>
    <w:rsid w:val="00A742AC"/>
    <w:rsid w:val="00A74A6D"/>
    <w:rsid w:val="00A81B47"/>
    <w:rsid w:val="00A91D48"/>
    <w:rsid w:val="00A93977"/>
    <w:rsid w:val="00AA1D8D"/>
    <w:rsid w:val="00AA5737"/>
    <w:rsid w:val="00AA7A8B"/>
    <w:rsid w:val="00AC6F53"/>
    <w:rsid w:val="00AC7F6C"/>
    <w:rsid w:val="00AD78BC"/>
    <w:rsid w:val="00AE119D"/>
    <w:rsid w:val="00B067A9"/>
    <w:rsid w:val="00B114C3"/>
    <w:rsid w:val="00B216D3"/>
    <w:rsid w:val="00B22999"/>
    <w:rsid w:val="00B34F4B"/>
    <w:rsid w:val="00B37580"/>
    <w:rsid w:val="00B42629"/>
    <w:rsid w:val="00B448ED"/>
    <w:rsid w:val="00B47730"/>
    <w:rsid w:val="00B554E5"/>
    <w:rsid w:val="00B659D4"/>
    <w:rsid w:val="00B75722"/>
    <w:rsid w:val="00B8676A"/>
    <w:rsid w:val="00BA751F"/>
    <w:rsid w:val="00BC587D"/>
    <w:rsid w:val="00BC5D27"/>
    <w:rsid w:val="00BD0FC8"/>
    <w:rsid w:val="00BE108E"/>
    <w:rsid w:val="00BE7F81"/>
    <w:rsid w:val="00BF0E5C"/>
    <w:rsid w:val="00C2091D"/>
    <w:rsid w:val="00C301E6"/>
    <w:rsid w:val="00C51632"/>
    <w:rsid w:val="00C601E2"/>
    <w:rsid w:val="00C62DCC"/>
    <w:rsid w:val="00C924A4"/>
    <w:rsid w:val="00C9781B"/>
    <w:rsid w:val="00CB0664"/>
    <w:rsid w:val="00CB5080"/>
    <w:rsid w:val="00CC0A8E"/>
    <w:rsid w:val="00CC1CF7"/>
    <w:rsid w:val="00CD1F23"/>
    <w:rsid w:val="00CE019D"/>
    <w:rsid w:val="00CE0BE9"/>
    <w:rsid w:val="00CE174D"/>
    <w:rsid w:val="00CF7E7F"/>
    <w:rsid w:val="00D0292A"/>
    <w:rsid w:val="00D30553"/>
    <w:rsid w:val="00D42071"/>
    <w:rsid w:val="00D46C41"/>
    <w:rsid w:val="00D54AF9"/>
    <w:rsid w:val="00DA361A"/>
    <w:rsid w:val="00DA7BAC"/>
    <w:rsid w:val="00DC35C8"/>
    <w:rsid w:val="00DC5D6E"/>
    <w:rsid w:val="00E05C35"/>
    <w:rsid w:val="00E24046"/>
    <w:rsid w:val="00E67B44"/>
    <w:rsid w:val="00E7586F"/>
    <w:rsid w:val="00E768BB"/>
    <w:rsid w:val="00E95633"/>
    <w:rsid w:val="00EA594C"/>
    <w:rsid w:val="00EB4D9E"/>
    <w:rsid w:val="00EB511E"/>
    <w:rsid w:val="00EF4AAA"/>
    <w:rsid w:val="00F12C7F"/>
    <w:rsid w:val="00F248DC"/>
    <w:rsid w:val="00F26051"/>
    <w:rsid w:val="00F265ED"/>
    <w:rsid w:val="00F656BF"/>
    <w:rsid w:val="00F70F22"/>
    <w:rsid w:val="00F75AA7"/>
    <w:rsid w:val="00FC349B"/>
    <w:rsid w:val="00FC693F"/>
    <w:rsid w:val="00FD5C73"/>
    <w:rsid w:val="00FE4C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794D59"/>
  <w14:defaultImageDpi w14:val="300"/>
  <w15:docId w15:val="{3EB31322-DE9F-4AD6-A6EF-241E15AF0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B89"/>
    <w:rPr>
      <w:rFonts w:ascii="Times New Roman" w:hAnsi="Times New Roman"/>
      <w:sz w:val="24"/>
    </w:rPr>
  </w:style>
  <w:style w:type="paragraph" w:styleId="Heading1">
    <w:name w:val="heading 1"/>
    <w:basedOn w:val="Normal"/>
    <w:next w:val="Normal"/>
    <w:link w:val="Heading1Char"/>
    <w:uiPriority w:val="9"/>
    <w:qFormat/>
    <w:rsid w:val="00184806"/>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636954"/>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0E2DB4"/>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0E2DB4"/>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0E2DB4"/>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0E2DB4"/>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0E2DB4"/>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0E2DB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E2DB4"/>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0E2DB4"/>
    <w:pPr>
      <w:spacing w:after="0" w:line="240" w:lineRule="auto"/>
    </w:pPr>
  </w:style>
  <w:style w:type="character" w:customStyle="1" w:styleId="Heading1Char">
    <w:name w:val="Heading 1 Char"/>
    <w:basedOn w:val="DefaultParagraphFont"/>
    <w:link w:val="Heading1"/>
    <w:uiPriority w:val="9"/>
    <w:rsid w:val="00184806"/>
    <w:rPr>
      <w:rFonts w:ascii="Times New Roman" w:hAnsi="Times New Roman"/>
      <w:caps/>
      <w:color w:val="FFFFFF" w:themeColor="background1"/>
      <w:spacing w:val="15"/>
      <w:sz w:val="24"/>
      <w:szCs w:val="22"/>
      <w:shd w:val="clear" w:color="auto" w:fill="4F81BD" w:themeFill="accent1"/>
    </w:rPr>
  </w:style>
  <w:style w:type="character" w:customStyle="1" w:styleId="Heading2Char">
    <w:name w:val="Heading 2 Char"/>
    <w:basedOn w:val="DefaultParagraphFont"/>
    <w:link w:val="Heading2"/>
    <w:uiPriority w:val="9"/>
    <w:rsid w:val="00636954"/>
    <w:rPr>
      <w:rFonts w:ascii="Times New Roman" w:hAnsi="Times New Roman"/>
      <w:caps/>
      <w:spacing w:val="15"/>
      <w:sz w:val="24"/>
      <w:shd w:val="clear" w:color="auto" w:fill="DBE5F1" w:themeFill="accent1" w:themeFillTint="33"/>
    </w:rPr>
  </w:style>
  <w:style w:type="character" w:customStyle="1" w:styleId="Heading3Char">
    <w:name w:val="Heading 3 Char"/>
    <w:basedOn w:val="DefaultParagraphFont"/>
    <w:link w:val="Heading3"/>
    <w:uiPriority w:val="9"/>
    <w:rsid w:val="000E2DB4"/>
    <w:rPr>
      <w:caps/>
      <w:color w:val="243F60" w:themeColor="accent1" w:themeShade="7F"/>
      <w:spacing w:val="15"/>
    </w:rPr>
  </w:style>
  <w:style w:type="paragraph" w:styleId="Title">
    <w:name w:val="Title"/>
    <w:basedOn w:val="Normal"/>
    <w:next w:val="Normal"/>
    <w:link w:val="TitleChar"/>
    <w:uiPriority w:val="10"/>
    <w:qFormat/>
    <w:rsid w:val="000E2DB4"/>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0E2DB4"/>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0E2DB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E2DB4"/>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rPr>
  </w:style>
  <w:style w:type="paragraph" w:styleId="Quote">
    <w:name w:val="Quote"/>
    <w:basedOn w:val="Normal"/>
    <w:next w:val="Normal"/>
    <w:link w:val="QuoteChar"/>
    <w:uiPriority w:val="29"/>
    <w:qFormat/>
    <w:rsid w:val="000E2DB4"/>
    <w:rPr>
      <w:i/>
      <w:iCs/>
      <w:szCs w:val="24"/>
    </w:rPr>
  </w:style>
  <w:style w:type="character" w:customStyle="1" w:styleId="QuoteChar">
    <w:name w:val="Quote Char"/>
    <w:basedOn w:val="DefaultParagraphFont"/>
    <w:link w:val="Quote"/>
    <w:uiPriority w:val="29"/>
    <w:rsid w:val="000E2DB4"/>
    <w:rPr>
      <w:rFonts w:ascii="Times New Roman" w:hAnsi="Times New Roman"/>
      <w:i/>
      <w:iCs/>
      <w:sz w:val="24"/>
      <w:szCs w:val="24"/>
    </w:rPr>
  </w:style>
  <w:style w:type="character" w:customStyle="1" w:styleId="Heading4Char">
    <w:name w:val="Heading 4 Char"/>
    <w:basedOn w:val="DefaultParagraphFont"/>
    <w:link w:val="Heading4"/>
    <w:uiPriority w:val="9"/>
    <w:semiHidden/>
    <w:rsid w:val="000E2DB4"/>
    <w:rPr>
      <w:caps/>
      <w:color w:val="365F91" w:themeColor="accent1" w:themeShade="BF"/>
      <w:spacing w:val="10"/>
    </w:rPr>
  </w:style>
  <w:style w:type="character" w:customStyle="1" w:styleId="Heading5Char">
    <w:name w:val="Heading 5 Char"/>
    <w:basedOn w:val="DefaultParagraphFont"/>
    <w:link w:val="Heading5"/>
    <w:uiPriority w:val="9"/>
    <w:semiHidden/>
    <w:rsid w:val="000E2DB4"/>
    <w:rPr>
      <w:caps/>
      <w:color w:val="365F91" w:themeColor="accent1" w:themeShade="BF"/>
      <w:spacing w:val="10"/>
    </w:rPr>
  </w:style>
  <w:style w:type="character" w:customStyle="1" w:styleId="Heading6Char">
    <w:name w:val="Heading 6 Char"/>
    <w:basedOn w:val="DefaultParagraphFont"/>
    <w:link w:val="Heading6"/>
    <w:uiPriority w:val="9"/>
    <w:semiHidden/>
    <w:rsid w:val="000E2DB4"/>
    <w:rPr>
      <w:caps/>
      <w:color w:val="365F91" w:themeColor="accent1" w:themeShade="BF"/>
      <w:spacing w:val="10"/>
    </w:rPr>
  </w:style>
  <w:style w:type="character" w:customStyle="1" w:styleId="Heading7Char">
    <w:name w:val="Heading 7 Char"/>
    <w:basedOn w:val="DefaultParagraphFont"/>
    <w:link w:val="Heading7"/>
    <w:uiPriority w:val="9"/>
    <w:semiHidden/>
    <w:rsid w:val="000E2DB4"/>
    <w:rPr>
      <w:caps/>
      <w:color w:val="365F91" w:themeColor="accent1" w:themeShade="BF"/>
      <w:spacing w:val="10"/>
    </w:rPr>
  </w:style>
  <w:style w:type="character" w:customStyle="1" w:styleId="Heading8Char">
    <w:name w:val="Heading 8 Char"/>
    <w:basedOn w:val="DefaultParagraphFont"/>
    <w:link w:val="Heading8"/>
    <w:uiPriority w:val="9"/>
    <w:semiHidden/>
    <w:rsid w:val="000E2DB4"/>
    <w:rPr>
      <w:caps/>
      <w:spacing w:val="10"/>
      <w:sz w:val="18"/>
      <w:szCs w:val="18"/>
    </w:rPr>
  </w:style>
  <w:style w:type="character" w:customStyle="1" w:styleId="Heading9Char">
    <w:name w:val="Heading 9 Char"/>
    <w:basedOn w:val="DefaultParagraphFont"/>
    <w:link w:val="Heading9"/>
    <w:uiPriority w:val="9"/>
    <w:semiHidden/>
    <w:rsid w:val="000E2DB4"/>
    <w:rPr>
      <w:i/>
      <w:iCs/>
      <w:caps/>
      <w:spacing w:val="10"/>
      <w:sz w:val="18"/>
      <w:szCs w:val="18"/>
    </w:rPr>
  </w:style>
  <w:style w:type="paragraph" w:styleId="Caption">
    <w:name w:val="caption"/>
    <w:basedOn w:val="Normal"/>
    <w:next w:val="Normal"/>
    <w:uiPriority w:val="35"/>
    <w:semiHidden/>
    <w:unhideWhenUsed/>
    <w:qFormat/>
    <w:rsid w:val="000E2DB4"/>
    <w:rPr>
      <w:b/>
      <w:bCs/>
      <w:color w:val="365F91" w:themeColor="accent1" w:themeShade="BF"/>
      <w:sz w:val="16"/>
      <w:szCs w:val="16"/>
    </w:rPr>
  </w:style>
  <w:style w:type="character" w:styleId="Strong">
    <w:name w:val="Strong"/>
    <w:uiPriority w:val="22"/>
    <w:qFormat/>
    <w:rsid w:val="000E2DB4"/>
    <w:rPr>
      <w:b/>
      <w:bCs/>
    </w:rPr>
  </w:style>
  <w:style w:type="character" w:styleId="Emphasis">
    <w:name w:val="Emphasis"/>
    <w:uiPriority w:val="20"/>
    <w:qFormat/>
    <w:rsid w:val="000E2DB4"/>
    <w:rPr>
      <w:caps/>
      <w:color w:val="243F60" w:themeColor="accent1" w:themeShade="7F"/>
      <w:spacing w:val="5"/>
    </w:rPr>
  </w:style>
  <w:style w:type="paragraph" w:styleId="IntenseQuote">
    <w:name w:val="Intense Quote"/>
    <w:basedOn w:val="Normal"/>
    <w:next w:val="Normal"/>
    <w:link w:val="IntenseQuoteChar"/>
    <w:uiPriority w:val="30"/>
    <w:qFormat/>
    <w:rsid w:val="000E2DB4"/>
    <w:pPr>
      <w:spacing w:before="240" w:after="240" w:line="240" w:lineRule="auto"/>
      <w:ind w:left="1080" w:right="1080"/>
      <w:jc w:val="center"/>
    </w:pPr>
    <w:rPr>
      <w:color w:val="4F81BD" w:themeColor="accent1"/>
      <w:szCs w:val="24"/>
    </w:rPr>
  </w:style>
  <w:style w:type="character" w:customStyle="1" w:styleId="IntenseQuoteChar">
    <w:name w:val="Intense Quote Char"/>
    <w:basedOn w:val="DefaultParagraphFont"/>
    <w:link w:val="IntenseQuote"/>
    <w:uiPriority w:val="30"/>
    <w:rsid w:val="000E2DB4"/>
    <w:rPr>
      <w:rFonts w:ascii="Times New Roman" w:hAnsi="Times New Roman"/>
      <w:color w:val="4F81BD" w:themeColor="accent1"/>
      <w:sz w:val="24"/>
      <w:szCs w:val="24"/>
    </w:rPr>
  </w:style>
  <w:style w:type="character" w:styleId="SubtleEmphasis">
    <w:name w:val="Subtle Emphasis"/>
    <w:uiPriority w:val="19"/>
    <w:qFormat/>
    <w:rsid w:val="000E2DB4"/>
    <w:rPr>
      <w:i/>
      <w:iCs/>
      <w:color w:val="243F60" w:themeColor="accent1" w:themeShade="7F"/>
    </w:rPr>
  </w:style>
  <w:style w:type="character" w:styleId="IntenseEmphasis">
    <w:name w:val="Intense Emphasis"/>
    <w:uiPriority w:val="21"/>
    <w:qFormat/>
    <w:rsid w:val="000E2DB4"/>
    <w:rPr>
      <w:b/>
      <w:bCs/>
      <w:caps/>
      <w:color w:val="243F60" w:themeColor="accent1" w:themeShade="7F"/>
      <w:spacing w:val="10"/>
    </w:rPr>
  </w:style>
  <w:style w:type="character" w:styleId="SubtleReference">
    <w:name w:val="Subtle Reference"/>
    <w:uiPriority w:val="31"/>
    <w:qFormat/>
    <w:rsid w:val="000E2DB4"/>
    <w:rPr>
      <w:b/>
      <w:bCs/>
      <w:color w:val="4F81BD" w:themeColor="accent1"/>
    </w:rPr>
  </w:style>
  <w:style w:type="character" w:styleId="IntenseReference">
    <w:name w:val="Intense Reference"/>
    <w:uiPriority w:val="32"/>
    <w:qFormat/>
    <w:rsid w:val="000E2DB4"/>
    <w:rPr>
      <w:b/>
      <w:bCs/>
      <w:i/>
      <w:iCs/>
      <w:caps/>
      <w:color w:val="4F81BD" w:themeColor="accent1"/>
    </w:rPr>
  </w:style>
  <w:style w:type="character" w:styleId="BookTitle">
    <w:name w:val="Book Title"/>
    <w:uiPriority w:val="33"/>
    <w:qFormat/>
    <w:rsid w:val="000E2DB4"/>
    <w:rPr>
      <w:b/>
      <w:bCs/>
      <w:i/>
      <w:iCs/>
      <w:spacing w:val="0"/>
    </w:rPr>
  </w:style>
  <w:style w:type="paragraph" w:styleId="TOCHeading">
    <w:name w:val="TOC Heading"/>
    <w:basedOn w:val="Heading1"/>
    <w:next w:val="Normal"/>
    <w:uiPriority w:val="39"/>
    <w:semiHidden/>
    <w:unhideWhenUsed/>
    <w:qFormat/>
    <w:rsid w:val="000E2DB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actSheetTitle">
    <w:name w:val="FactSheet Title"/>
    <w:rPr>
      <w:rFonts w:ascii="Calibri" w:hAnsi="Calibri"/>
      <w:b/>
      <w:sz w:val="44"/>
    </w:rPr>
  </w:style>
  <w:style w:type="table" w:styleId="PlainTable3">
    <w:name w:val="Plain Table 3"/>
    <w:basedOn w:val="TableNormal"/>
    <w:uiPriority w:val="99"/>
    <w:rsid w:val="00600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6003F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99"/>
    <w:rsid w:val="006003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99"/>
    <w:rsid w:val="008E76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99"/>
    <w:rsid w:val="008E76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8E76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421570"/>
    <w:rPr>
      <w:color w:val="0000FF" w:themeColor="hyperlink"/>
      <w:u w:val="single"/>
    </w:rPr>
  </w:style>
  <w:style w:type="character" w:styleId="UnresolvedMention">
    <w:name w:val="Unresolved Mention"/>
    <w:basedOn w:val="DefaultParagraphFont"/>
    <w:uiPriority w:val="99"/>
    <w:semiHidden/>
    <w:unhideWhenUsed/>
    <w:rsid w:val="00421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raudconferencenews.com/home/2022/6/20/is-it-time-to-rethink-the-fraud-triangl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949090C73B444AB239746BF8BCC645" ma:contentTypeVersion="13" ma:contentTypeDescription="Create a new document." ma:contentTypeScope="" ma:versionID="a08e4a83fc521702b18a83360286a8a1">
  <xsd:schema xmlns:xsd="http://www.w3.org/2001/XMLSchema" xmlns:xs="http://www.w3.org/2001/XMLSchema" xmlns:p="http://schemas.microsoft.com/office/2006/metadata/properties" xmlns:ns2="2112e3b6-ffbe-4e3c-bbd7-445dbc30305a" xmlns:ns3="7c56d1bc-41ac-4de6-9e35-a477c329059c" targetNamespace="http://schemas.microsoft.com/office/2006/metadata/properties" ma:root="true" ma:fieldsID="12a003ed7ad2a51c318c83c58257db14" ns2:_="" ns3:_="">
    <xsd:import namespace="2112e3b6-ffbe-4e3c-bbd7-445dbc30305a"/>
    <xsd:import namespace="7c56d1bc-41ac-4de6-9e35-a477c32905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_x0045_RD01"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12e3b6-ffbe-4e3c-bbd7-445dbc3030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_x0045_RD01" ma:index="16" nillable="true" ma:displayName="ERD 01" ma:description="https://lucid.app/lucidchart/da2a6694-3f7a-4134-ae67-4a04a9fe31b6/edit?beaconFlowId=F06FD960F3E0842E&amp;page=0_0&amp;invitationId=inv_3d273d02-89f3-4c80-a935-bf49e75fe8b1#" ma:format="Dropdown" ma:internalName="_x0045_RD01">
      <xsd:simpleType>
        <xsd:restriction base="dms:Text">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e20e570-3a27-4eff-9ea0-d3488a33fbf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56d1bc-41ac-4de6-9e35-a477c329059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277181a-e768-45e3-ad48-e3ddea6c052c}" ma:internalName="TaxCatchAll" ma:showField="CatchAllData" ma:web="7c56d1bc-41ac-4de6-9e35-a477c32905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x0045_RD01 xmlns="2112e3b6-ffbe-4e3c-bbd7-445dbc30305a" xsi:nil="true"/>
    <lcf76f155ced4ddcb4097134ff3c332f xmlns="2112e3b6-ffbe-4e3c-bbd7-445dbc30305a">
      <Terms xmlns="http://schemas.microsoft.com/office/infopath/2007/PartnerControls"/>
    </lcf76f155ced4ddcb4097134ff3c332f>
    <TaxCatchAll xmlns="7c56d1bc-41ac-4de6-9e35-a477c329059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E53D32B-9942-4FDB-9923-EADB5F93211F}">
  <ds:schemaRefs>
    <ds:schemaRef ds:uri="http://schemas.microsoft.com/sharepoint/v3/contenttype/forms"/>
  </ds:schemaRefs>
</ds:datastoreItem>
</file>

<file path=customXml/itemProps3.xml><?xml version="1.0" encoding="utf-8"?>
<ds:datastoreItem xmlns:ds="http://schemas.openxmlformats.org/officeDocument/2006/customXml" ds:itemID="{F79E29A7-BDFD-45B9-ADA4-D5D3E8E9B2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12e3b6-ffbe-4e3c-bbd7-445dbc30305a"/>
    <ds:schemaRef ds:uri="7c56d1bc-41ac-4de6-9e35-a477c32905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8BFAB8-DC1C-481B-9E8C-ECF7CE492E14}">
  <ds:schemaRefs>
    <ds:schemaRef ds:uri="http://schemas.microsoft.com/office/2006/metadata/properties"/>
    <ds:schemaRef ds:uri="http://schemas.microsoft.com/office/infopath/2007/PartnerControls"/>
    <ds:schemaRef ds:uri="2112e3b6-ffbe-4e3c-bbd7-445dbc30305a"/>
    <ds:schemaRef ds:uri="7c56d1bc-41ac-4de6-9e35-a477c329059c"/>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5</Pages>
  <Words>868</Words>
  <Characters>5140</Characters>
  <Application>Microsoft Office Word</Application>
  <DocSecurity>0</DocSecurity>
  <Lines>141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Kamath, Udyavara Narsim (MU-Student)</cp:lastModifiedBy>
  <cp:revision>136</cp:revision>
  <dcterms:created xsi:type="dcterms:W3CDTF">2025-12-19T07:22:00Z</dcterms:created>
  <dcterms:modified xsi:type="dcterms:W3CDTF">2026-01-06T16:35:00Z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0x01010056949090C73B444AB239746BF8BCC645</vt:lpwstr>
  </property>
  <property fmtid="{D5CDD505-2E9C-101B-9397-08002B2CF9AE}" pid="3" name="MediaServiceImageTags">
    <vt:lpwstr/>
  </property>
</Properties>
</file>