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-ops-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40" w:line="293" w:lineRule="auto"/>
        <w:jc w:val="center"/>
      </w:pPr>
      <w:r>
        <w:rPr>
          <w:rFonts w:ascii="微软雅黑" w:hAnsi="微软雅黑" w:eastAsia="微软雅黑"/>
          <w:b/>
          <w:color w:val="0B1524"/>
          <w:sz w:val="64"/>
        </w:rPr>
        <w:t>物联慧眼</w:t>
      </w:r>
    </w:p>
    <w:p>
      <w:pPr>
        <w:spacing w:before="0" w:after="240" w:line="293" w:lineRule="auto"/>
        <w:jc w:val="center"/>
      </w:pPr>
      <w:r>
        <w:rPr>
          <w:rFonts w:ascii="微软雅黑" w:hAnsi="微软雅黑" w:eastAsia="微软雅黑"/>
          <w:b/>
          <w:color w:val="1E88E5"/>
          <w:sz w:val="34"/>
        </w:rPr>
        <w:t>三层异构网络态势感知与可视化平台</w:t>
      </w:r>
    </w:p>
    <w:p>
      <w:pPr>
        <w:spacing w:before="0" w:after="360" w:line="293" w:lineRule="auto"/>
        <w:jc w:val="center"/>
      </w:pPr>
      <w:r>
        <w:rPr>
          <w:rFonts w:ascii="微软雅黑" w:hAnsi="微软雅黑" w:eastAsia="微软雅黑"/>
          <w:b/>
          <w:color w:val="16C784"/>
          <w:sz w:val="28"/>
        </w:rPr>
        <w:t>商业计划书（星火杯版本）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vAlign w:val="center"/>
            <w:shd w:fill="12233A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项目名称</w:t>
            </w:r>
          </w:p>
        </w:tc>
        <w:tc>
          <w:tcPr>
            <w:tcW w:type="dxa" w:w="6123"/>
            <w:vAlign w:val="center"/>
            <w:shd w:fill="F8FBFF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物联慧眼：三层异构网络态势感知与可视化平台</w:t>
            </w:r>
          </w:p>
        </w:tc>
        <w:trPr>
          <w:tblHeader/>
        </w:trPr>
      </w:tr>
      <w:tr>
        <w:tc>
          <w:tcPr>
            <w:tcW w:type="dxa" w:w="2381"/>
            <w:vAlign w:val="center"/>
            <w:shd w:fill="12233A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提交版本</w:t>
            </w:r>
          </w:p>
        </w:tc>
        <w:tc>
          <w:tcPr>
            <w:tcW w:type="dxa" w:w="6123"/>
            <w:vAlign w:val="center"/>
            <w:shd w:fill="F8FBFF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基于 Git 提交 ee715bc《星火杯物联慧眼》</w:t>
            </w:r>
          </w:p>
        </w:tc>
      </w:tr>
      <w:tr>
        <w:tc>
          <w:tcPr>
            <w:tcW w:type="dxa" w:w="2381"/>
            <w:vAlign w:val="center"/>
            <w:shd w:fill="12233A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参赛赛道/组别</w:t>
            </w:r>
          </w:p>
        </w:tc>
        <w:tc>
          <w:tcPr>
            <w:tcW w:type="dxa" w:w="6123"/>
            <w:vAlign w:val="center"/>
            <w:shd w:fill="F8FBFF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待填写（建议结合校赛通知选择高教主赛道创意组或创业组）</w:t>
            </w:r>
          </w:p>
        </w:tc>
      </w:tr>
      <w:tr>
        <w:tc>
          <w:tcPr>
            <w:tcW w:type="dxa" w:w="2381"/>
            <w:vAlign w:val="center"/>
            <w:shd w:fill="12233A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负责人/团队</w:t>
            </w:r>
          </w:p>
        </w:tc>
        <w:tc>
          <w:tcPr>
            <w:tcW w:type="dxa" w:w="6123"/>
            <w:vAlign w:val="center"/>
            <w:shd w:fill="F8FBFF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待填写</w:t>
            </w:r>
          </w:p>
        </w:tc>
      </w:tr>
      <w:tr>
        <w:tc>
          <w:tcPr>
            <w:tcW w:type="dxa" w:w="2381"/>
            <w:vAlign w:val="center"/>
            <w:shd w:fill="12233A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联系方式</w:t>
            </w:r>
          </w:p>
        </w:tc>
        <w:tc>
          <w:tcPr>
            <w:tcW w:type="dxa" w:w="6123"/>
            <w:vAlign w:val="center"/>
            <w:shd w:fill="F8FBFF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手机/邮箱/QQ 待填写</w:t>
            </w:r>
          </w:p>
        </w:tc>
      </w:tr>
    </w:tbl>
    <w:p>
      <w:pPr>
        <w:spacing w:before="240" w:after="120" w:line="293" w:lineRule="auto"/>
        <w:jc w:val="center"/>
      </w:pPr>
      <w:r>
        <w:rPr>
          <w:rFonts w:ascii="微软雅黑" w:hAnsi="微软雅黑" w:eastAsia="微软雅黑"/>
          <w:b w:val="0"/>
          <w:color w:val="5C6F82"/>
          <w:sz w:val="18"/>
        </w:rPr>
        <w:t>日期：2026 年 5 月 | 本稿为参赛包装版，市场调研、团队信息、知识产权与试点证明需赛前补充。</w:t>
      </w:r>
    </w:p>
    <w:p>
      <w:r>
        <w:br w:type="page"/>
      </w:r>
    </w:p>
    <w:p>
      <w:pPr>
        <w:pStyle w:val="Heading1"/>
        <w:spacing w:before="240" w:after="120"/>
      </w:pPr>
      <w:r>
        <w:t>目录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1. 执行摘要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2. 赛事评审对齐与项目定位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3. 行业痛点与市场机会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4. 产品与解决方案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5. 技术路线与研发基础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6. 核心创新与竞争壁垒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7. 目标客户、商业模式与定价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8. 市场推广与运营计划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9. 财务测算与融资规划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10. 团队建设与资源配置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11. 风险识别与应对</w:t>
      </w:r>
    </w:p>
    <w:p>
      <w:pPr>
        <w:spacing w:before="0" w:after="100" w:line="293" w:lineRule="auto"/>
      </w:pPr>
      <w:r>
        <w:rPr>
          <w:rFonts w:ascii="微软雅黑" w:hAnsi="微软雅黑" w:eastAsia="微软雅黑"/>
          <w:b w:val="0"/>
          <w:color w:val="0B1524"/>
          <w:sz w:val="22"/>
        </w:rPr>
        <w:t>12. 附录：当前版本证据与参考资料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9"/>
            <w:shd w:fill="F5B84B"/>
            <w:tcBorders>
              <w:top w:val="single" w:sz="6" w:space="0" w:color="F5B84B"/>
              <w:left w:val="single" w:sz="6" w:space="0" w:color="F5B84B"/>
              <w:bottom w:val="single" w:sz="6" w:space="0" w:color="F5B84B"/>
              <w:right w:val="single" w:sz="6" w:space="0" w:color="F5B84B"/>
            </w:tcBorders>
          </w:tcPr>
          <w:p/>
        </w:tc>
        <w:tc>
          <w:tcPr>
            <w:tcW w:type="dxa" w:w="8901"/>
            <w:shd w:fill="FFF8E6"/>
            <w:tcBorders>
              <w:top w:val="single" w:sz="6" w:space="0" w:color="FFF8E6"/>
              <w:left w:val="single" w:sz="6" w:space="0" w:color="FFF8E6"/>
              <w:bottom w:val="single" w:sz="6" w:space="0" w:color="FFF8E6"/>
              <w:right w:val="single" w:sz="6" w:space="0" w:color="FFF8E6"/>
            </w:tcBorders>
          </w:tcPr>
          <w:p>
            <w:r>
              <w:rPr>
                <w:rFonts w:ascii="微软雅黑" w:hAnsi="微软雅黑" w:eastAsia="微软雅黑"/>
                <w:b/>
                <w:color w:val="0B1524"/>
                <w:sz w:val="21"/>
              </w:rPr>
              <w:t>阅读提示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263445"/>
                <w:sz w:val="19"/>
              </w:rPr>
              <w:t>本商业计划书定位为创新创业大赛参赛材料：正文突出项目商业价值、技术创新、落地路径与团队成长；其中真实客户、市场规模、财务收入、团队资质等内容需以赛前调研材料最终校准。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t>1. 执行摘要</w:t>
      </w:r>
    </w:p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物联慧眼是一套面向三层异构通信网络的态势感知与可视化平台，聚焦骨干网络、Ad hoc 自组织网络、接入网络及终端设备之间的统一建模、实时更新、交互分析和历史复盘。项目当前已形成可运行原型，具备 REST API、动态拓扑展示、告警推导、历史帧回放、连通性分析和时延加权最短路径分析等能力。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9"/>
            <w:shd w:fill="19C7E8"/>
            <w:tcBorders>
              <w:top w:val="single" w:sz="6" w:space="0" w:color="19C7E8"/>
              <w:left w:val="single" w:sz="6" w:space="0" w:color="19C7E8"/>
              <w:bottom w:val="single" w:sz="6" w:space="0" w:color="19C7E8"/>
              <w:right w:val="single" w:sz="6" w:space="0" w:color="19C7E8"/>
            </w:tcBorders>
          </w:tcPr>
          <w:p/>
        </w:tc>
        <w:tc>
          <w:tcPr>
            <w:tcW w:type="dxa" w:w="8901"/>
            <w:shd w:fill="EAF8FF"/>
            <w:tcBorders>
              <w:top w:val="single" w:sz="6" w:space="0" w:color="EAF8FF"/>
              <w:left w:val="single" w:sz="6" w:space="0" w:color="EAF8FF"/>
              <w:bottom w:val="single" w:sz="6" w:space="0" w:color="EAF8FF"/>
              <w:right w:val="single" w:sz="6" w:space="0" w:color="EAF8FF"/>
            </w:tcBorders>
          </w:tcPr>
          <w:p>
            <w:r>
              <w:rPr>
                <w:rFonts w:ascii="微软雅黑" w:hAnsi="微软雅黑" w:eastAsia="微软雅黑"/>
                <w:b/>
                <w:color w:val="0B1524"/>
                <w:sz w:val="21"/>
              </w:rPr>
              <w:t>一句话定位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263445"/>
                <w:sz w:val="19"/>
              </w:rPr>
              <w:t>将割裂的网络设备、链路质量、跨层关系和事件快照整合为一个可视、可算、可复盘的网络态势操作平台。</w:t>
            </w:r>
          </w:p>
        </w:tc>
        <w:trPr>
          <w:tblHeader/>
        </w:trPr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当前基础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商业包装表达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赛事价值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产品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React + Leaflet 前端、Node.js 后端、Python 场景数据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三层异构网络态势感知平台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可演示、可部署、可扩展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技术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统一 Node/Link/Relation/Event/Snapshot 模型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跨层建模 + 事件驱动 + 历史回放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项目创新与专业能力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客户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校园/园区、应急通信、工业物联、边缘网络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先试点再行业复制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产业价值与落地路径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收入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PoC、私有化部署、模块授权、年度服务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轻资产项目制起步，逐步标准化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商业模式清晰</w:t>
            </w:r>
          </w:p>
        </w:tc>
      </w:tr>
    </w:tbl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5C6F82"/>
          <w:sz w:val="19"/>
        </w:rPr>
        <w:t>当前演示指标：节点 19 个、链路 23 条、网络健康度 69%、平均时延 55.8ms、平均丢包率 4.29%。这些指标来自 Project-001/metrics.json，可作为原型可运行性的量化证据。</w:t>
      </w:r>
    </w:p>
    <w:p>
      <w:pPr>
        <w:pStyle w:val="Heading1"/>
        <w:spacing w:before="240" w:after="120"/>
      </w:pPr>
      <w:r>
        <w:t>2. 赛事评审对齐与项目定位</w:t>
      </w:r>
    </w:p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中国国际大学生创新创业大赛/中国国际大学生创新大赛强调学生成长、项目创新、产业价值和团队协作。本项目适合按照“新工科 + 信息通信 + 网络安全/物联网运维”的方向包装，以技术原型支撑商业计划，以真实行业痛点支撑市场逻辑。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评审关注</w:t>
            </w:r>
          </w:p>
        </w:tc>
        <w:tc>
          <w:tcPr>
            <w:tcW w:type="dxa" w:w="340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材料表达重点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本项目对应内容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个人成长</w:t>
            </w:r>
          </w:p>
        </w:tc>
        <w:tc>
          <w:tcPr>
            <w:tcW w:type="dxa" w:w="340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专业知识与商业知识结合、调研深入、团队能力提升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通信网络、Web 工程、数据建模、可视化交互、商业测算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项目创新</w:t>
            </w:r>
          </w:p>
        </w:tc>
        <w:tc>
          <w:tcPr>
            <w:tcW w:type="dxa" w:w="340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问题导向、目标导向、创新成效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跨层关系一等建模、事件快照、历史回放、可计算拓扑分析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产业价值</w:t>
            </w:r>
          </w:p>
        </w:tc>
        <w:tc>
          <w:tcPr>
            <w:tcW w:type="dxa" w:w="340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市场定位、商业模式、发展前景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面向应急通信、校园/园区专网、工业物联与边缘网络运维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团队协作</w:t>
            </w:r>
          </w:p>
        </w:tc>
        <w:tc>
          <w:tcPr>
            <w:tcW w:type="dxa" w:w="340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组织结构、资源整合、创业可能性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待补充成员分工、导师资源、实验平台、试点单位与知识产权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9"/>
            <w:shd w:fill="16C784"/>
            <w:tcBorders>
              <w:top w:val="single" w:sz="6" w:space="0" w:color="16C784"/>
              <w:left w:val="single" w:sz="6" w:space="0" w:color="16C784"/>
              <w:bottom w:val="single" w:sz="6" w:space="0" w:color="16C784"/>
              <w:right w:val="single" w:sz="6" w:space="0" w:color="16C784"/>
            </w:tcBorders>
          </w:tcPr>
          <w:p/>
        </w:tc>
        <w:tc>
          <w:tcPr>
            <w:tcW w:type="dxa" w:w="8901"/>
            <w:shd w:fill="F2FFF8"/>
            <w:tcBorders>
              <w:top w:val="single" w:sz="6" w:space="0" w:color="F2FFF8"/>
              <w:left w:val="single" w:sz="6" w:space="0" w:color="F2FFF8"/>
              <w:bottom w:val="single" w:sz="6" w:space="0" w:color="F2FFF8"/>
              <w:right w:val="single" w:sz="6" w:space="0" w:color="F2FFF8"/>
            </w:tcBorders>
          </w:tcPr>
          <w:p>
            <w:r>
              <w:rPr>
                <w:rFonts w:ascii="微软雅黑" w:hAnsi="微软雅黑" w:eastAsia="微软雅黑"/>
                <w:b/>
                <w:color w:val="0B1524"/>
                <w:sz w:val="21"/>
              </w:rPr>
              <w:t>参赛包装建议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263445"/>
                <w:sz w:val="19"/>
              </w:rPr>
              <w:t>若团队尚未注册企业或没有销售订单，建议以“高教主赛道创意组/成长组”语言包装：强调原型可运行、应用场景明确、成果转化路径可信；若已有试点合同或企业主体，可进一步按创业组口径强化经营数据。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  <w:spacing w:before="240" w:after="120"/>
      </w:pPr>
      <w:r>
        <w:t>3. 行业痛点与市场机会</w:t>
      </w:r>
    </w:p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专网、应急通信、校园/园区物联网和边缘网络正在从单一链路、单一设备监控，转向跨层、多源、动态协同的网络态势管理。传统网管工具重资产、部署门槛高，GIS 或地图系统更偏位置呈现，IoT 平台偏设备接入和业务数据，对“网络拓扑关系、链路质量、告警事件、历史回放”的联动支持不足。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态势割裂：骨干、接入、无线中继、终端与卫星/无人机回传分属不同系统，故障定位需要人工拼图。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事件滞后：链路丢包、时延、SNR、节点离线等变化不能及时进入统一事件流，影响应急响应。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复盘缺口：演练和事故后缺少可回放的历史快照，难以复现故障传播路径和处置过程。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成本矛盾：中小型园区、实验室和教学科研场景需要轻量可部署工具，而非重型商业网管。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72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典型需求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付费动因</w:t>
            </w:r>
          </w:p>
        </w:tc>
        <w:tc>
          <w:tcPr>
            <w:tcW w:type="dxa" w:w="20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切入优先级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高校/园区专网</w:t>
            </w:r>
          </w:p>
        </w:tc>
        <w:tc>
          <w:tcPr>
            <w:tcW w:type="dxa" w:w="272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IoT、安防、边缘节点、实验网络统一展示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低成本演示、运维效率、科研平台</w:t>
            </w:r>
          </w:p>
        </w:tc>
        <w:tc>
          <w:tcPr>
            <w:tcW w:type="dxa" w:w="20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高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应急通信演练</w:t>
            </w:r>
          </w:p>
        </w:tc>
        <w:tc>
          <w:tcPr>
            <w:tcW w:type="dxa" w:w="272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临时组网、无人机中继、卫星回传态势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快速定位、演练复盘、指挥可视化</w:t>
            </w:r>
          </w:p>
        </w:tc>
        <w:tc>
          <w:tcPr>
            <w:tcW w:type="dxa" w:w="20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高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工业物联网</w:t>
            </w:r>
          </w:p>
        </w:tc>
        <w:tc>
          <w:tcPr>
            <w:tcW w:type="dxa" w:w="272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远程站点链路质量与资产状态监控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停机损失控制、运维降本</w:t>
            </w:r>
          </w:p>
        </w:tc>
        <w:tc>
          <w:tcPr>
            <w:tcW w:type="dxa" w:w="20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中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运营商边缘网络</w:t>
            </w:r>
          </w:p>
        </w:tc>
        <w:tc>
          <w:tcPr>
            <w:tcW w:type="dxa" w:w="272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多接入边缘链路与终端拓扑联动</w:t>
            </w:r>
          </w:p>
        </w:tc>
        <w:tc>
          <w:tcPr>
            <w:tcW w:type="dxa" w:w="255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系统集成、模块化补强</w:t>
            </w:r>
          </w:p>
        </w:tc>
        <w:tc>
          <w:tcPr>
            <w:tcW w:type="dxa" w:w="20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中</w:t>
            </w:r>
          </w:p>
        </w:tc>
      </w:tr>
    </w:tbl>
    <w:p>
      <w:pPr>
        <w:pStyle w:val="Heading1"/>
        <w:spacing w:before="240" w:after="120"/>
      </w:pPr>
      <w:r>
        <w:t>4. 产品与解决方案</w:t>
      </w:r>
    </w:p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物联慧眼以“统一建模 - 实时更新 - 可视分析 - 历史复盘”为核心闭环。前端负责地图渲染、节点筛选、链路状态表达、详情面板、回放控制和分析结果展示；后端负责模型持久化、Python 场景数据适配、事件处理、告警推导、REST API 与历史帧组织。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93" w:lineRule="auto"/>
        <w:jc w:val="center"/>
      </w:pPr>
      <w:r>
        <w:rPr>
          <w:rFonts w:ascii="微软雅黑" w:hAnsi="微软雅黑" w:eastAsia="微软雅黑"/>
          <w:b w:val="0"/>
          <w:color w:val="5C6F82"/>
          <w:sz w:val="17"/>
        </w:rPr>
        <w:t>图 1 当前星火杯版本产品界面截图：地图态势、控制面板、KPI、回放与告警入口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产品模块</w:t>
            </w:r>
          </w:p>
        </w:tc>
        <w:tc>
          <w:tcPr>
            <w:tcW w:type="dxa" w:w="357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368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客户价值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统一拓扑建模</w:t>
            </w:r>
          </w:p>
        </w:tc>
        <w:tc>
          <w:tcPr>
            <w:tcW w:type="dxa" w:w="357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Node、Link、CrossLayerRelation、NetworkEvent、SituationSnapshot</w:t>
            </w:r>
          </w:p>
        </w:tc>
        <w:tc>
          <w:tcPr>
            <w:tcW w:type="dxa" w:w="368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将跨层通信关系变成可计算资产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实时态势看板</w:t>
            </w:r>
          </w:p>
        </w:tc>
        <w:tc>
          <w:tcPr>
            <w:tcW w:type="dxa" w:w="357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动态节点、链路健康、KPI、告警、过滤搜索、详情联动</w:t>
            </w:r>
          </w:p>
        </w:tc>
        <w:tc>
          <w:tcPr>
            <w:tcW w:type="dxa" w:w="368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减少人工切换系统和定位时间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历史回放</w:t>
            </w:r>
          </w:p>
        </w:tc>
        <w:tc>
          <w:tcPr>
            <w:tcW w:type="dxa" w:w="357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内存环形帧缓存、事件时间轴、播放/暂停/帧切换</w:t>
            </w:r>
          </w:p>
        </w:tc>
        <w:tc>
          <w:tcPr>
            <w:tcW w:type="dxa" w:w="368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支持应急演练复盘和责任分析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图分析能力</w:t>
            </w:r>
          </w:p>
        </w:tc>
        <w:tc>
          <w:tcPr>
            <w:tcW w:type="dxa" w:w="357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连通性分析、时延加权最短路径、影响范围提示</w:t>
            </w:r>
          </w:p>
        </w:tc>
        <w:tc>
          <w:tcPr>
            <w:tcW w:type="dxa" w:w="368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从“看到异常”走向“理解影响”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场景适配</w:t>
            </w:r>
          </w:p>
        </w:tc>
        <w:tc>
          <w:tcPr>
            <w:tcW w:type="dxa" w:w="3572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Python 快照/指标/事件文件接入，命令队列支持动态节点操作</w:t>
            </w:r>
          </w:p>
        </w:tc>
        <w:tc>
          <w:tcPr>
            <w:tcW w:type="dxa" w:w="368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便于教学科研、行业演练和二次开发</w:t>
            </w:r>
          </w:p>
        </w:tc>
      </w:tr>
    </w:tbl>
    <w:p>
      <w:pPr>
        <w:pStyle w:val="Heading1"/>
        <w:spacing w:before="240" w:after="120"/>
      </w:pPr>
      <w:r>
        <w:t>5. 技术路线与研发基础</w:t>
      </w:r>
    </w:p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项目采用 React + Leaflet/MapLibre/Deck.gl 的前端可视化技术栈，后端采用 Node.js 原生 HTTP 服务与仓储模式，Python 侧提供三层网络场景数据生成与导出。该架构符合原型阶段“可运行、可演示、可扩展”的要求，同时保留未来对真实采集系统、数据库和 WebSocket 通道的集成空间。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实现基础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当前证据</w:t>
            </w:r>
          </w:p>
        </w:tc>
        <w:tc>
          <w:tcPr>
            <w:tcW w:type="dxa" w:w="243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扩展方向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前端可视层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React、Leaflet、MapLibre、Deck.gl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2D/3D 模式、节点列表、过滤搜索、详情、回放面板</w:t>
            </w:r>
          </w:p>
        </w:tc>
        <w:tc>
          <w:tcPr>
            <w:tcW w:type="dxa" w:w="243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大屏模式、告警联动、趋势图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服务接口层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Node.js REST API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/api/topology、/api/events、/api/playback/frames 等</w:t>
            </w:r>
          </w:p>
        </w:tc>
        <w:tc>
          <w:tcPr>
            <w:tcW w:type="dxa" w:w="243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WebSocket 频道、API 鉴权、接口文档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数据模型层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统一拓扑仓储与 Python 文件适配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Node/Link/Relation/Event/Snapshot 统一组织</w:t>
            </w:r>
          </w:p>
        </w:tc>
        <w:tc>
          <w:tcPr>
            <w:tcW w:type="dxa" w:w="243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数据库持久化、增量同步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分析计算层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连通性、最短路径、告警阈值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delay/loss/utilization/SNR 告警推导</w:t>
            </w:r>
          </w:p>
        </w:tc>
        <w:tc>
          <w:tcPr>
            <w:tcW w:type="dxa" w:w="243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根因分析、趋势预测、仿真评估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9"/>
            <w:shd w:fill="19C7E8"/>
            <w:tcBorders>
              <w:top w:val="single" w:sz="6" w:space="0" w:color="19C7E8"/>
              <w:left w:val="single" w:sz="6" w:space="0" w:color="19C7E8"/>
              <w:bottom w:val="single" w:sz="6" w:space="0" w:color="19C7E8"/>
              <w:right w:val="single" w:sz="6" w:space="0" w:color="19C7E8"/>
            </w:tcBorders>
          </w:tcPr>
          <w:p/>
        </w:tc>
        <w:tc>
          <w:tcPr>
            <w:tcW w:type="dxa" w:w="8901"/>
            <w:shd w:fill="EAF8FF"/>
            <w:tcBorders>
              <w:top w:val="single" w:sz="6" w:space="0" w:color="EAF8FF"/>
              <w:left w:val="single" w:sz="6" w:space="0" w:color="EAF8FF"/>
              <w:bottom w:val="single" w:sz="6" w:space="0" w:color="EAF8FF"/>
              <w:right w:val="single" w:sz="6" w:space="0" w:color="EAF8FF"/>
            </w:tcBorders>
          </w:tcPr>
          <w:p>
            <w:r>
              <w:rPr>
                <w:rFonts w:ascii="微软雅黑" w:hAnsi="微软雅黑" w:eastAsia="微软雅黑"/>
                <w:b/>
                <w:color w:val="0B1524"/>
                <w:sz w:val="21"/>
              </w:rPr>
              <w:t>工程可信度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263445"/>
                <w:sz w:val="19"/>
              </w:rPr>
              <w:t>星火杯版本已通过 npm run build 构建验证；当前演示数据包含 19 个节点、23 条链路，能够展示离线节点、链路劣化、历史帧与实时 KPI。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  <w:spacing w:before="240" w:after="120"/>
      </w:pPr>
      <w:r>
        <w:t>6. 核心创新与竞争壁垒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创新点</w:t>
            </w:r>
          </w:p>
        </w:tc>
        <w:tc>
          <w:tcPr>
            <w:tcW w:type="dxa" w:w="45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壁垒来源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0B1524"/>
                <w:sz w:val="17"/>
              </w:rPr>
              <w:t>跨层关系一等建模</w:t>
            </w:r>
          </w:p>
        </w:tc>
        <w:tc>
          <w:tcPr>
            <w:tcW w:type="dxa" w:w="45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CrossLayerRelation 不再只是 UI 连线，而是进入数据模型、接口返回和分析逻辑，可支持从终端到中继、接入、骨干的链路追踪。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6C784"/>
                <w:sz w:val="17"/>
              </w:rPr>
              <w:t>数据模型 + 工程实现 + 场景经验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0B1524"/>
                <w:sz w:val="17"/>
              </w:rPr>
              <w:t>事件驱动态势快照</w:t>
            </w:r>
          </w:p>
        </w:tc>
        <w:tc>
          <w:tcPr>
            <w:tcW w:type="dxa" w:w="45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拓扑、指标、告警与事件通过时间戳组织，为历史回放、演练复盘和事故审计提供统一依据。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6C784"/>
                <w:sz w:val="17"/>
              </w:rPr>
              <w:t>数据模型 + 工程实现 + 场景经验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0B1524"/>
                <w:sz w:val="17"/>
              </w:rPr>
              <w:t>可计算网络态势</w:t>
            </w:r>
          </w:p>
        </w:tc>
        <w:tc>
          <w:tcPr>
            <w:tcW w:type="dxa" w:w="45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连通性分析、时延加权最短路径和告警阈值推导，使系统具备“看见 - 判断 - 分析”的闭环能力。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6C784"/>
                <w:sz w:val="17"/>
              </w:rPr>
              <w:t>数据模型 + 工程实现 + 场景经验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0B1524"/>
                <w:sz w:val="17"/>
              </w:rPr>
              <w:t>轻量化场景仿真</w:t>
            </w:r>
          </w:p>
        </w:tc>
        <w:tc>
          <w:tcPr>
            <w:tcW w:type="dxa" w:w="45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Python 数据生成器与命令队列支持节点新增、移除、状态更新等场景，便于校赛答辩和客户试点演示。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6C784"/>
                <w:sz w:val="17"/>
              </w:rPr>
              <w:t>数据模型 + 工程实现 + 场景经验</w:t>
            </w:r>
          </w:p>
        </w:tc>
      </w:tr>
    </w:tbl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5C6F82"/>
          <w:sz w:val="19"/>
        </w:rPr>
        <w:t>知识产权建议：赛前可将“多层异构网络态势感知系统”“历史回放与跨层关系分析方法”“网络拓扑动态演示平台”等方向整理为软著材料，并保留代码提交记录、演示视频、设计文档作为成果证明。</w:t>
      </w:r>
    </w:p>
    <w:p>
      <w:pPr>
        <w:pStyle w:val="Heading1"/>
        <w:spacing w:before="240" w:after="120"/>
      </w:pPr>
      <w:r>
        <w:t>7. 目标客户、商业模式与定价</w:t>
      </w:r>
    </w:p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项目商业化不宜一开始定位为重型商业网管，而应从“轻量可部署的态势演示/运维分析平台”切入。以高校、实验室、园区和应急演练项目获取种子案例，再逐步沉淀行业模板和可复用模块。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收入线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收费方式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典型报价建议</w:t>
            </w:r>
          </w:p>
        </w:tc>
        <w:tc>
          <w:tcPr>
            <w:tcW w:type="dxa" w:w="238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交付内容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PoC 试点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项目制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3-8 万元/项目</w:t>
            </w:r>
          </w:p>
        </w:tc>
        <w:tc>
          <w:tcPr>
            <w:tcW w:type="dxa" w:w="238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场景搭建、演示大屏、基础培训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私有化部署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软件 + 实施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10-30 万元/套</w:t>
            </w:r>
          </w:p>
        </w:tc>
        <w:tc>
          <w:tcPr>
            <w:tcW w:type="dxa" w:w="238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系统部署、数据适配、接口联调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年度服务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订阅/维保</w:t>
            </w:r>
          </w:p>
        </w:tc>
        <w:tc>
          <w:tcPr>
            <w:tcW w:type="dxa" w:w="249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合同额 15%-25%/年</w:t>
            </w:r>
          </w:p>
        </w:tc>
        <w:tc>
          <w:tcPr>
            <w:tcW w:type="dxa" w:w="238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运维支持、版本更新、演练脚本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9"/>
            <w:shd w:fill="16C784"/>
            <w:tcBorders>
              <w:top w:val="single" w:sz="6" w:space="0" w:color="16C784"/>
              <w:left w:val="single" w:sz="6" w:space="0" w:color="16C784"/>
              <w:bottom w:val="single" w:sz="6" w:space="0" w:color="16C784"/>
              <w:right w:val="single" w:sz="6" w:space="0" w:color="16C784"/>
            </w:tcBorders>
          </w:tcPr>
          <w:p/>
        </w:tc>
        <w:tc>
          <w:tcPr>
            <w:tcW w:type="dxa" w:w="8901"/>
            <w:shd w:fill="F2FFF8"/>
            <w:tcBorders>
              <w:top w:val="single" w:sz="6" w:space="0" w:color="F2FFF8"/>
              <w:left w:val="single" w:sz="6" w:space="0" w:color="F2FFF8"/>
              <w:bottom w:val="single" w:sz="6" w:space="0" w:color="F2FFF8"/>
              <w:right w:val="single" w:sz="6" w:space="0" w:color="F2FFF8"/>
            </w:tcBorders>
          </w:tcPr>
          <w:p>
            <w:r>
              <w:rPr>
                <w:rFonts w:ascii="微软雅黑" w:hAnsi="微软雅黑" w:eastAsia="微软雅黑"/>
                <w:b/>
                <w:color w:val="0B1524"/>
                <w:sz w:val="21"/>
              </w:rPr>
              <w:t>商业模式画布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263445"/>
                <w:sz w:val="19"/>
              </w:rPr>
              <w:t>关键伙伴：高校实验室、系统集成商、应急演练单位；关键活动：数据适配、场景封装、可视分析算法；价值主张：复杂网络看得见、找得快、可复盘；客户关系：试点共创 + 年度服务；渠道：校企合作、创新创业赛事、实验室示范、集成商项目。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  <w:spacing w:before="240" w:after="120"/>
      </w:pPr>
      <w:r>
        <w:t>8. 市场推广与运营计划</w:t>
      </w:r>
    </w:p>
    <w:p>
      <w:pPr>
        <w:spacing w:before="0" w:after="120" w:line="293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推广策略采用“比赛曝光 - 校园试点 - 行业演练 - 集成合作”的路径。比赛阶段强调原型演示和商业计划完整性；试点阶段重点获取真实反馈；商业阶段以场景包和接口适配降低交付成本。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1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06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重点目标</w:t>
            </w:r>
          </w:p>
        </w:tc>
        <w:tc>
          <w:tcPr>
            <w:tcW w:type="dxa" w:w="28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关键成果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赛事版</w:t>
            </w:r>
          </w:p>
        </w:tc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2026 Q2-Q3</w:t>
            </w:r>
          </w:p>
        </w:tc>
        <w:tc>
          <w:tcPr>
            <w:tcW w:type="dxa" w:w="306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完善计划书、路演稿、演示视频和答辩材料</w:t>
            </w:r>
          </w:p>
        </w:tc>
        <w:tc>
          <w:tcPr>
            <w:tcW w:type="dxa" w:w="28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进入校赛/省赛、形成原型证明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试点版</w:t>
            </w:r>
          </w:p>
        </w:tc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2026 Q4-2027 Q2</w:t>
            </w:r>
          </w:p>
        </w:tc>
        <w:tc>
          <w:tcPr>
            <w:tcW w:type="dxa" w:w="306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完成 1-3 个校园或实验室场景试点</w:t>
            </w:r>
          </w:p>
        </w:tc>
        <w:tc>
          <w:tcPr>
            <w:tcW w:type="dxa" w:w="28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试用证明、数据样例、软著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行业版</w:t>
            </w:r>
          </w:p>
        </w:tc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2027 Q3-2028</w:t>
            </w:r>
          </w:p>
        </w:tc>
        <w:tc>
          <w:tcPr>
            <w:tcW w:type="dxa" w:w="306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面向应急通信/园区专网复制演练方案</w:t>
            </w:r>
          </w:p>
        </w:tc>
        <w:tc>
          <w:tcPr>
            <w:tcW w:type="dxa" w:w="283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7"/>
              </w:rPr>
              <w:t>行业场景包、标准报价、合作伙伴</w:t>
            </w:r>
          </w:p>
        </w:tc>
      </w:tr>
    </w:tbl>
    <w:p>
      <w:pPr>
        <w:pStyle w:val="Heading2"/>
        <w:spacing w:before="160" w:after="120"/>
      </w:pPr>
      <w:r>
        <w:t>8.1 竞品与差异化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58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对比对象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优势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不足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物联慧眼切入点</w:t>
            </w:r>
          </w:p>
        </w:tc>
      </w:tr>
      <w:tr>
        <w:tc>
          <w:tcPr>
            <w:tcW w:type="dxa" w:w="158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传统网管系统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监控能力强、成熟稳定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成本高、重部署、定制慢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轻量原型、跨层回放、演练导向</w:t>
            </w:r>
          </w:p>
        </w:tc>
      </w:tr>
      <w:tr>
        <w:tc>
          <w:tcPr>
            <w:tcW w:type="dxa" w:w="158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GIS/地图平台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空间展示能力强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网络模型和事件逻辑弱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把地理展示与网络拓扑分析结合</w:t>
            </w:r>
          </w:p>
        </w:tc>
      </w:tr>
      <w:tr>
        <w:tc>
          <w:tcPr>
            <w:tcW w:type="dxa" w:w="158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IoT 平台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设备接入和数据采集成熟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网络链路和跨层关系表达不足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补齐通信态势与运维复盘能力</w:t>
            </w:r>
          </w:p>
        </w:tc>
      </w:tr>
      <w:tr>
        <w:tc>
          <w:tcPr>
            <w:tcW w:type="dxa" w:w="158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开源可视化组件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灵活、成本低</w:t>
            </w:r>
          </w:p>
        </w:tc>
        <w:tc>
          <w:tcPr>
            <w:tcW w:type="dxa" w:w="226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缺少完整业务闭环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形成模型、接口、分析、回放完整方案</w:t>
            </w:r>
          </w:p>
        </w:tc>
      </w:tr>
    </w:tbl>
    <w:p>
      <w:pPr>
        <w:pStyle w:val="Heading1"/>
        <w:spacing w:before="240" w:after="120"/>
      </w:pPr>
      <w:r>
        <w:t>9. 财务测算与融资规划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640857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4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93" w:lineRule="auto"/>
        <w:jc w:val="center"/>
      </w:pPr>
      <w:r>
        <w:rPr>
          <w:rFonts w:ascii="微软雅黑" w:hAnsi="微软雅黑" w:eastAsia="微软雅黑"/>
          <w:b w:val="0"/>
          <w:color w:val="5C6F82"/>
          <w:sz w:val="17"/>
        </w:rPr>
        <w:t>图 2 三年收入测算示意（单位：万元，赛前需结合真实报价和试点资源校准）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2026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2027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2028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测算依据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项目制收入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56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96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PoC 试点与私有化部署逐步增加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授权与服务收入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42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128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模块授权、年度服务、场景包复制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营业收入合计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24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98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224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以轻资产软件服务为主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研发与交付成本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45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70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人员、测试、部署、适配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销售与运营成本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40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宣传、差旅、试点支持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云资源与软硬件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24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服务器、演示设备、测试环境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预计净利润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-1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1134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90</w:t>
            </w:r>
          </w:p>
        </w:tc>
        <w:tc>
          <w:tcPr>
            <w:tcW w:type="dxa" w:w="385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标准化后毛利率提升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9"/>
            <w:shd w:fill="F5B84B"/>
            <w:tcBorders>
              <w:top w:val="single" w:sz="6" w:space="0" w:color="F5B84B"/>
              <w:left w:val="single" w:sz="6" w:space="0" w:color="F5B84B"/>
              <w:bottom w:val="single" w:sz="6" w:space="0" w:color="F5B84B"/>
              <w:right w:val="single" w:sz="6" w:space="0" w:color="F5B84B"/>
            </w:tcBorders>
          </w:tcPr>
          <w:p/>
        </w:tc>
        <w:tc>
          <w:tcPr>
            <w:tcW w:type="dxa" w:w="8901"/>
            <w:shd w:fill="FFF8E6"/>
            <w:tcBorders>
              <w:top w:val="single" w:sz="6" w:space="0" w:color="FFF8E6"/>
              <w:left w:val="single" w:sz="6" w:space="0" w:color="FFF8E6"/>
              <w:bottom w:val="single" w:sz="6" w:space="0" w:color="FFF8E6"/>
              <w:right w:val="single" w:sz="6" w:space="0" w:color="FFF8E6"/>
            </w:tcBorders>
          </w:tcPr>
          <w:p>
            <w:r>
              <w:rPr>
                <w:rFonts w:ascii="微软雅黑" w:hAnsi="微软雅黑" w:eastAsia="微软雅黑"/>
                <w:b/>
                <w:color w:val="0B1524"/>
                <w:sz w:val="21"/>
              </w:rPr>
              <w:t>融资/资源需求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263445"/>
                <w:sz w:val="19"/>
              </w:rPr>
              <w:t>若进入省赛或后续孵化，可提出 20-50 万元种子支持需求，主要用于真实数据接入、行业调研、软著/专利申请、试点部署和演示设备。资金需求需结合学校政策和团队计划最终调整。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  <w:spacing w:before="240" w:after="120"/>
      </w:pPr>
      <w:r>
        <w:t>10. 团队建设与资源配置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建议成员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赛前补充材料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项目负责人</w:t>
            </w:r>
          </w:p>
        </w:tc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待填写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商业统筹、答辩、外部沟通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个人简介、获奖、项目经历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前端与交互</w:t>
            </w:r>
          </w:p>
        </w:tc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待填写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地图可视化、控制面板、用户体验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代码贡献、截图、演示视频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后端与数据</w:t>
            </w:r>
          </w:p>
        </w:tc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待填写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REST API、仓储模型、事件和回放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接口文档、测试记录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算法与仿真</w:t>
            </w:r>
          </w:p>
        </w:tc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待填写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Python 场景生成、链路质量、分析算法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模型说明、实验数据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商业与运营</w:t>
            </w:r>
          </w:p>
        </w:tc>
        <w:tc>
          <w:tcPr>
            <w:tcW w:type="dxa" w:w="170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待填写</w:t>
            </w:r>
          </w:p>
        </w:tc>
        <w:tc>
          <w:tcPr>
            <w:tcW w:type="dxa" w:w="294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市场调研、竞品分析、财务测算</w:t>
            </w:r>
          </w:p>
        </w:tc>
        <w:tc>
          <w:tcPr>
            <w:tcW w:type="dxa" w:w="266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访谈记录、报价表、推广计划</w:t>
            </w:r>
          </w:p>
        </w:tc>
      </w:tr>
    </w:tbl>
    <w:p>
      <w:pPr>
        <w:pStyle w:val="Heading1"/>
        <w:spacing w:before="240" w:after="120"/>
      </w:pPr>
      <w:r>
        <w:t>11. 风险识别与应对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17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12233A"/>
          </w:tcPr>
          <w:p>
            <w:pPr>
              <w:spacing w:after="0" w:line="269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市场验证不足</w:t>
            </w:r>
          </w:p>
        </w:tc>
        <w:tc>
          <w:tcPr>
            <w:tcW w:type="dxa" w:w="317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缺少真实客户访谈和试点证明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赛前完成 5-8 份访谈记录，争取实验室/学院试用意见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数据接入复杂</w:t>
            </w:r>
          </w:p>
        </w:tc>
        <w:tc>
          <w:tcPr>
            <w:tcW w:type="dxa" w:w="317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不同设备协议和字段差异大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先做适配层和标准数据模型，逐步接入真实采集器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商业化周期长</w:t>
            </w:r>
          </w:p>
        </w:tc>
        <w:tc>
          <w:tcPr>
            <w:tcW w:type="dxa" w:w="317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政企/园区客户采购流程较长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以教学科研和演练项目切入，降低首单门槛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团队资源有限</w:t>
            </w:r>
          </w:p>
        </w:tc>
        <w:tc>
          <w:tcPr>
            <w:tcW w:type="dxa" w:w="317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学生团队研发、销售、交付能力有限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明确分工，引入导师、集成商或实验室资源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竞品替代风险</w:t>
            </w:r>
          </w:p>
        </w:tc>
        <w:tc>
          <w:tcPr>
            <w:tcW w:type="dxa" w:w="3175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大型网管厂商能力更成熟</w:t>
            </w:r>
          </w:p>
        </w:tc>
        <w:tc>
          <w:tcPr>
            <w:tcW w:type="dxa" w:w="3798"/>
            <w:vAlign w:val="center"/>
            <w:tcBorders>
              <w:top w:val="single" w:sz="6" w:space="0" w:color="DCE6F0"/>
              <w:left w:val="single" w:sz="6" w:space="0" w:color="DCE6F0"/>
              <w:bottom w:val="single" w:sz="6" w:space="0" w:color="DCE6F0"/>
              <w:right w:val="single" w:sz="6" w:space="0" w:color="DCE6F0"/>
            </w:tcBorders>
            <w:shd w:fill="FFFFFF"/>
          </w:tcPr>
          <w:p>
            <w:pPr>
              <w:spacing w:after="0" w:line="269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聚焦轻量跨层态势、演练回放和二次开发差异化</w:t>
            </w:r>
          </w:p>
        </w:tc>
      </w:tr>
    </w:tbl>
    <w:p>
      <w:pPr>
        <w:pStyle w:val="Heading1"/>
        <w:spacing w:before="240" w:after="120"/>
      </w:pPr>
      <w:r>
        <w:t>12. 附录：当前版本证据与参考资料</w:t>
      </w:r>
    </w:p>
    <w:p>
      <w:pPr>
        <w:pStyle w:val="Heading2"/>
        <w:spacing w:before="160" w:after="120"/>
      </w:pPr>
      <w:r>
        <w:t>12.1 当前版本功能证据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Git 提交：ee715bc《星火杯物联慧眼》。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前端构建：npm run build 已通过，产物位于 build/。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核心接口：/api/topology、/api/nodes/:id、/api/links/:id、/api/situation/current、/api/events、/api/playback/frames、/api/analysis/connectivity、/api/analysis/path。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当前数据：节点 19 个、链路 23 条、网络健康度 69%、在线率 73.68%、平均时延 55.8022ms、平均丢包率 4.29%。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关键能力：动态拓扑、过滤搜索、节点详情、告警推导、历史帧回放、最短路径、Python 场景数据接入。</w:t>
      </w:r>
    </w:p>
    <w:p>
      <w:pPr>
        <w:pStyle w:val="Heading2"/>
        <w:spacing w:before="160" w:after="120"/>
      </w:pPr>
      <w:r>
        <w:t>12.2 参考资料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中国国际大学生创新大赛（2025）评审规则：公开材料显示高教主赛道关注个人成长、项目创新、产业价值、团队协作等维度。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华中科技大学关于中国国际大学生创新大赛（2026）项目预征集的通知：公开材料列示项目计划书和路演 PPT 常见提交项，具体要求以所在学校当年通知为准。</w:t>
      </w:r>
    </w:p>
    <w:p>
      <w:pPr>
        <w:pStyle w:val="ListBullet"/>
        <w:spacing w:after="60" w:line="283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项目本地材料：AGENTS.md、server/src/server.js、src/App.js、Project-001/snapshot.json、Project-001/metrics.json。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9"/>
            <w:shd w:fill="F5B84B"/>
            <w:tcBorders>
              <w:top w:val="single" w:sz="6" w:space="0" w:color="F5B84B"/>
              <w:left w:val="single" w:sz="6" w:space="0" w:color="F5B84B"/>
              <w:bottom w:val="single" w:sz="6" w:space="0" w:color="F5B84B"/>
              <w:right w:val="single" w:sz="6" w:space="0" w:color="F5B84B"/>
            </w:tcBorders>
          </w:tcPr>
          <w:p/>
        </w:tc>
        <w:tc>
          <w:tcPr>
            <w:tcW w:type="dxa" w:w="8901"/>
            <w:shd w:fill="FFF8E6"/>
            <w:tcBorders>
              <w:top w:val="single" w:sz="6" w:space="0" w:color="FFF8E6"/>
              <w:left w:val="single" w:sz="6" w:space="0" w:color="FFF8E6"/>
              <w:bottom w:val="single" w:sz="6" w:space="0" w:color="FFF8E6"/>
              <w:right w:val="single" w:sz="6" w:space="0" w:color="FFF8E6"/>
            </w:tcBorders>
          </w:tcPr>
          <w:p>
            <w:r>
              <w:rPr>
                <w:rFonts w:ascii="微软雅黑" w:hAnsi="微软雅黑" w:eastAsia="微软雅黑"/>
                <w:b/>
                <w:color w:val="0B1524"/>
                <w:sz w:val="21"/>
              </w:rPr>
              <w:t>最终提交前检查清单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263445"/>
                <w:sz w:val="19"/>
              </w:rPr>
              <w:t>1. 补齐参赛人和团队真实信息；2. 增加市场访谈与试点证明；3. 将财务测算替换为团队确认口径；4. 附软著/论文/获奖/指导教师资源；5. 对照当年学校通知调整页数、格式和附件要求。</w:t>
            </w:r>
          </w:p>
        </w:tc>
        <w:trPr>
          <w:tblHeader/>
        </w:trPr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247" w:bottom="1049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C6F82"/>
        <w:sz w:val="17"/>
      </w:rPr>
      <w:t>物联慧眼商业计划书 | 星火杯版本 | 参赛信息待完善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B152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B15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E88E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物联慧眼：星火杯版本商业计划书</dc:title>
  <dc:subject>中国国际大学生创新创业大赛商业计划书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