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03999" cy="332276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twork-ops-her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3227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320" w:after="40" w:line="293" w:lineRule="auto"/>
        <w:jc w:val="center"/>
      </w:pPr>
      <w:r>
        <w:rPr>
          <w:rFonts w:ascii="微软雅黑" w:hAnsi="微软雅黑" w:eastAsia="微软雅黑"/>
          <w:b/>
          <w:color w:val="0B1524"/>
          <w:sz w:val="64"/>
        </w:rPr>
        <w:t>物联慧眼</w:t>
      </w:r>
    </w:p>
    <w:p>
      <w:pPr>
        <w:spacing w:before="0" w:after="240" w:line="293" w:lineRule="auto"/>
        <w:jc w:val="center"/>
      </w:pPr>
      <w:r>
        <w:rPr>
          <w:rFonts w:ascii="微软雅黑" w:hAnsi="微软雅黑" w:eastAsia="微软雅黑"/>
          <w:b/>
          <w:color w:val="1E88E5"/>
          <w:sz w:val="34"/>
        </w:rPr>
        <w:t>三层异构网络态势感知与可视化平台</w:t>
      </w:r>
    </w:p>
    <w:p>
      <w:pPr>
        <w:spacing w:before="0" w:after="360" w:line="293" w:lineRule="auto"/>
        <w:jc w:val="center"/>
      </w:pPr>
      <w:r>
        <w:rPr>
          <w:rFonts w:ascii="微软雅黑" w:hAnsi="微软雅黑" w:eastAsia="微软雅黑"/>
          <w:b/>
          <w:color w:val="16C784"/>
          <w:sz w:val="28"/>
        </w:rPr>
        <w:t>商业计划书（星火杯版本）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381"/>
            <w:vAlign w:val="center"/>
            <w:shd w:fill="12233A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项目名称</w:t>
            </w:r>
          </w:p>
        </w:tc>
        <w:tc>
          <w:tcPr>
            <w:tcW w:type="dxa" w:w="6123"/>
            <w:vAlign w:val="center"/>
            <w:shd w:fill="F8FBFF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19"/>
              </w:rPr>
              <w:t>物联慧眼：三层异构网络态势感知与可视化平台</w:t>
            </w:r>
          </w:p>
        </w:tc>
      </w:tr>
      <w:tr>
        <w:tc>
          <w:tcPr>
            <w:tcW w:type="dxa" w:w="2381"/>
            <w:vAlign w:val="center"/>
            <w:shd w:fill="12233A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提交版本</w:t>
            </w:r>
          </w:p>
        </w:tc>
        <w:tc>
          <w:tcPr>
            <w:tcW w:type="dxa" w:w="6123"/>
            <w:vAlign w:val="center"/>
            <w:shd w:fill="F8FBFF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19"/>
              </w:rPr>
              <w:t>基于 Git 提交 ee715bc《星火杯物联慧眼》</w:t>
            </w:r>
          </w:p>
        </w:tc>
      </w:tr>
      <w:tr>
        <w:tc>
          <w:tcPr>
            <w:tcW w:type="dxa" w:w="2381"/>
            <w:vAlign w:val="center"/>
            <w:shd w:fill="12233A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参赛赛道/组别</w:t>
            </w:r>
          </w:p>
        </w:tc>
        <w:tc>
          <w:tcPr>
            <w:tcW w:type="dxa" w:w="6123"/>
            <w:vAlign w:val="center"/>
            <w:shd w:fill="F8FBFF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19"/>
              </w:rPr>
              <w:t>待填写（建议结合校赛通知选择高教主赛道创意组或创业组）</w:t>
            </w:r>
          </w:p>
        </w:tc>
      </w:tr>
      <w:tr>
        <w:tc>
          <w:tcPr>
            <w:tcW w:type="dxa" w:w="2381"/>
            <w:vAlign w:val="center"/>
            <w:shd w:fill="12233A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负责人/团队</w:t>
            </w:r>
          </w:p>
        </w:tc>
        <w:tc>
          <w:tcPr>
            <w:tcW w:type="dxa" w:w="6123"/>
            <w:vAlign w:val="center"/>
            <w:shd w:fill="F8FBFF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19"/>
              </w:rPr>
              <w:t>待填写</w:t>
            </w:r>
          </w:p>
        </w:tc>
      </w:tr>
      <w:tr>
        <w:tc>
          <w:tcPr>
            <w:tcW w:type="dxa" w:w="2381"/>
            <w:vAlign w:val="center"/>
            <w:shd w:fill="12233A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联系方式</w:t>
            </w:r>
          </w:p>
        </w:tc>
        <w:tc>
          <w:tcPr>
            <w:tcW w:type="dxa" w:w="6123"/>
            <w:vAlign w:val="center"/>
            <w:shd w:fill="F8FBFF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19"/>
              </w:rPr>
              <w:t>手机/邮箱/QQ 待填写</w:t>
            </w:r>
          </w:p>
        </w:tc>
      </w:tr>
    </w:tbl>
    <w:p>
      <w:pPr>
        <w:spacing w:before="240" w:after="120" w:line="293" w:lineRule="auto"/>
        <w:jc w:val="center"/>
      </w:pPr>
      <w:r>
        <w:rPr>
          <w:rFonts w:ascii="微软雅黑" w:hAnsi="微软雅黑" w:eastAsia="微软雅黑"/>
          <w:b w:val="0"/>
          <w:color w:val="5C6F82"/>
          <w:sz w:val="18"/>
        </w:rPr>
        <w:t>日期：2026 年 5 月 | 本稿为参赛包装版，市场调研、团队信息、知识产权与试点证明需赛前补充。</w:t>
      </w:r>
    </w:p>
    <w:p>
      <w:r>
        <w:br w:type="page"/>
      </w:r>
    </w:p>
    <w:p>
      <w:pPr>
        <w:pStyle w:val="Heading1"/>
        <w:spacing w:before="240" w:after="120"/>
      </w:pPr>
      <w:r>
        <w:t>目录</w:t>
      </w:r>
    </w:p>
    <w:p>
      <w:pPr>
        <w:spacing w:before="0" w:after="100" w:line="293" w:lineRule="auto"/>
      </w:pPr>
      <w:r>
        <w:rPr>
          <w:rFonts w:ascii="微软雅黑" w:hAnsi="微软雅黑" w:eastAsia="微软雅黑"/>
          <w:b w:val="0"/>
          <w:color w:val="0B1524"/>
          <w:sz w:val="22"/>
        </w:rPr>
        <w:t>1. 执行摘要</w:t>
      </w:r>
    </w:p>
    <w:p>
      <w:pPr>
        <w:spacing w:before="0" w:after="100" w:line="293" w:lineRule="auto"/>
      </w:pPr>
      <w:r>
        <w:rPr>
          <w:rFonts w:ascii="微软雅黑" w:hAnsi="微软雅黑" w:eastAsia="微软雅黑"/>
          <w:b w:val="0"/>
          <w:color w:val="0B1524"/>
          <w:sz w:val="22"/>
        </w:rPr>
        <w:t>2. 赛事评审对齐与项目定位</w:t>
      </w:r>
    </w:p>
    <w:p>
      <w:pPr>
        <w:spacing w:before="0" w:after="100" w:line="293" w:lineRule="auto"/>
      </w:pPr>
      <w:r>
        <w:rPr>
          <w:rFonts w:ascii="微软雅黑" w:hAnsi="微软雅黑" w:eastAsia="微软雅黑"/>
          <w:b w:val="0"/>
          <w:color w:val="0B1524"/>
          <w:sz w:val="22"/>
        </w:rPr>
        <w:t>3. 行业痛点与市场机会</w:t>
      </w:r>
    </w:p>
    <w:p>
      <w:pPr>
        <w:spacing w:before="0" w:after="100" w:line="293" w:lineRule="auto"/>
      </w:pPr>
      <w:r>
        <w:rPr>
          <w:rFonts w:ascii="微软雅黑" w:hAnsi="微软雅黑" w:eastAsia="微软雅黑"/>
          <w:b w:val="0"/>
          <w:color w:val="0B1524"/>
          <w:sz w:val="22"/>
        </w:rPr>
        <w:t>4. 产品与解决方案</w:t>
      </w:r>
    </w:p>
    <w:p>
      <w:pPr>
        <w:spacing w:before="0" w:after="100" w:line="293" w:lineRule="auto"/>
      </w:pPr>
      <w:r>
        <w:rPr>
          <w:rFonts w:ascii="微软雅黑" w:hAnsi="微软雅黑" w:eastAsia="微软雅黑"/>
          <w:b w:val="0"/>
          <w:color w:val="0B1524"/>
          <w:sz w:val="22"/>
        </w:rPr>
        <w:t>5. 技术路线与研发基础</w:t>
      </w:r>
    </w:p>
    <w:p>
      <w:pPr>
        <w:spacing w:before="0" w:after="100" w:line="293" w:lineRule="auto"/>
      </w:pPr>
      <w:r>
        <w:rPr>
          <w:rFonts w:ascii="微软雅黑" w:hAnsi="微软雅黑" w:eastAsia="微软雅黑"/>
          <w:b w:val="0"/>
          <w:color w:val="0B1524"/>
          <w:sz w:val="22"/>
        </w:rPr>
        <w:t>6. 核心创新与竞争壁垒</w:t>
      </w:r>
    </w:p>
    <w:p>
      <w:pPr>
        <w:spacing w:before="0" w:after="100" w:line="293" w:lineRule="auto"/>
      </w:pPr>
      <w:r>
        <w:rPr>
          <w:rFonts w:ascii="微软雅黑" w:hAnsi="微软雅黑" w:eastAsia="微软雅黑"/>
          <w:b w:val="0"/>
          <w:color w:val="0B1524"/>
          <w:sz w:val="22"/>
        </w:rPr>
        <w:t>7. 目标客户、商业模式与定价</w:t>
      </w:r>
    </w:p>
    <w:p>
      <w:pPr>
        <w:spacing w:before="0" w:after="100" w:line="293" w:lineRule="auto"/>
      </w:pPr>
      <w:r>
        <w:rPr>
          <w:rFonts w:ascii="微软雅黑" w:hAnsi="微软雅黑" w:eastAsia="微软雅黑"/>
          <w:b w:val="0"/>
          <w:color w:val="0B1524"/>
          <w:sz w:val="22"/>
        </w:rPr>
        <w:t>8. 市场推广与运营计划</w:t>
      </w:r>
    </w:p>
    <w:p>
      <w:pPr>
        <w:spacing w:before="0" w:after="100" w:line="293" w:lineRule="auto"/>
      </w:pPr>
      <w:r>
        <w:rPr>
          <w:rFonts w:ascii="微软雅黑" w:hAnsi="微软雅黑" w:eastAsia="微软雅黑"/>
          <w:b w:val="0"/>
          <w:color w:val="0B1524"/>
          <w:sz w:val="22"/>
        </w:rPr>
        <w:t>9. 财务测算与融资规划</w:t>
      </w:r>
    </w:p>
    <w:p>
      <w:pPr>
        <w:spacing w:before="0" w:after="100" w:line="293" w:lineRule="auto"/>
      </w:pPr>
      <w:r>
        <w:rPr>
          <w:rFonts w:ascii="微软雅黑" w:hAnsi="微软雅黑" w:eastAsia="微软雅黑"/>
          <w:b w:val="0"/>
          <w:color w:val="0B1524"/>
          <w:sz w:val="22"/>
        </w:rPr>
        <w:t>10. 团队建设与资源配置</w:t>
      </w:r>
    </w:p>
    <w:p>
      <w:pPr>
        <w:spacing w:before="0" w:after="100" w:line="293" w:lineRule="auto"/>
      </w:pPr>
      <w:r>
        <w:rPr>
          <w:rFonts w:ascii="微软雅黑" w:hAnsi="微软雅黑" w:eastAsia="微软雅黑"/>
          <w:b w:val="0"/>
          <w:color w:val="0B1524"/>
          <w:sz w:val="22"/>
        </w:rPr>
        <w:t>11. 风险识别与应对</w:t>
      </w:r>
    </w:p>
    <w:p>
      <w:pPr>
        <w:spacing w:before="0" w:after="100" w:line="293" w:lineRule="auto"/>
      </w:pPr>
      <w:r>
        <w:rPr>
          <w:rFonts w:ascii="微软雅黑" w:hAnsi="微软雅黑" w:eastAsia="微软雅黑"/>
          <w:b w:val="0"/>
          <w:color w:val="0B1524"/>
          <w:sz w:val="22"/>
        </w:rPr>
        <w:t>12. 附录：当前版本证据与参考资料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159"/>
            <w:shd w:fill="F5B84B"/>
            <w:tcBorders>
              <w:top w:val="single" w:sz="6" w:space="0" w:color="F5B84B"/>
              <w:left w:val="single" w:sz="6" w:space="0" w:color="F5B84B"/>
              <w:bottom w:val="single" w:sz="6" w:space="0" w:color="F5B84B"/>
              <w:right w:val="single" w:sz="6" w:space="0" w:color="F5B84B"/>
            </w:tcBorders>
          </w:tcPr>
          <w:p/>
        </w:tc>
        <w:tc>
          <w:tcPr>
            <w:tcW w:type="dxa" w:w="8901"/>
            <w:shd w:fill="FFF8E6"/>
            <w:tcBorders>
              <w:top w:val="single" w:sz="6" w:space="0" w:color="FFF8E6"/>
              <w:left w:val="single" w:sz="6" w:space="0" w:color="FFF8E6"/>
              <w:bottom w:val="single" w:sz="6" w:space="0" w:color="FFF8E6"/>
              <w:right w:val="single" w:sz="6" w:space="0" w:color="FFF8E6"/>
            </w:tcBorders>
          </w:tcPr>
          <w:p>
            <w:r>
              <w:rPr>
                <w:rFonts w:ascii="微软雅黑" w:hAnsi="微软雅黑" w:eastAsia="微软雅黑"/>
                <w:b/>
                <w:color w:val="0B1524"/>
                <w:sz w:val="21"/>
              </w:rPr>
              <w:t>阅读提示</w:t>
            </w:r>
            <w:r>
              <w:br/>
            </w:r>
            <w:r>
              <w:rPr>
                <w:rFonts w:ascii="微软雅黑" w:hAnsi="微软雅黑" w:eastAsia="微软雅黑"/>
                <w:b w:val="0"/>
                <w:color w:val="263445"/>
                <w:sz w:val="19"/>
              </w:rPr>
              <w:t>本商业计划书定位为创新创业大赛参赛材料：正文突出项目商业价值、技术创新、落地路径与团队成长；其中真实客户、市场规模、财务收入、团队资质等内容需以赛前调研材料最终校准。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spacing w:before="240" w:after="120"/>
      </w:pPr>
      <w:r>
        <w:t>1. 执行摘要</w:t>
      </w:r>
    </w:p>
    <w:p>
      <w:pPr>
        <w:spacing w:before="0" w:after="120" w:line="293" w:lineRule="auto"/>
      </w:pPr>
      <w:r>
        <w:rPr>
          <w:rFonts w:ascii="微软雅黑" w:hAnsi="微软雅黑" w:eastAsia="微软雅黑"/>
          <w:b w:val="0"/>
          <w:color w:val="1F2937"/>
          <w:sz w:val="21"/>
        </w:rPr>
        <w:t>物联慧眼是一套面向三层异构通信网络的态势感知与可视化平台，聚焦骨干网络、Ad hoc 自组织网络、接入网络及终端设备之间的统一建模、实时更新、交互分析和历史复盘。项目当前已形成可运行原型，具备 REST API、动态拓扑展示、告警推导、历史帧回放、连通性分析和时延加权最短路径分析等能力。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159"/>
            <w:shd w:fill="19C7E8"/>
            <w:tcBorders>
              <w:top w:val="single" w:sz="6" w:space="0" w:color="19C7E8"/>
              <w:left w:val="single" w:sz="6" w:space="0" w:color="19C7E8"/>
              <w:bottom w:val="single" w:sz="6" w:space="0" w:color="19C7E8"/>
              <w:right w:val="single" w:sz="6" w:space="0" w:color="19C7E8"/>
            </w:tcBorders>
          </w:tcPr>
          <w:p/>
        </w:tc>
        <w:tc>
          <w:tcPr>
            <w:tcW w:type="dxa" w:w="8901"/>
            <w:shd w:fill="EAF8FF"/>
            <w:tcBorders>
              <w:top w:val="single" w:sz="6" w:space="0" w:color="EAF8FF"/>
              <w:left w:val="single" w:sz="6" w:space="0" w:color="EAF8FF"/>
              <w:bottom w:val="single" w:sz="6" w:space="0" w:color="EAF8FF"/>
              <w:right w:val="single" w:sz="6" w:space="0" w:color="EAF8FF"/>
            </w:tcBorders>
          </w:tcPr>
          <w:p>
            <w:r>
              <w:rPr>
                <w:rFonts w:ascii="微软雅黑" w:hAnsi="微软雅黑" w:eastAsia="微软雅黑"/>
                <w:b/>
                <w:color w:val="0B1524"/>
                <w:sz w:val="21"/>
              </w:rPr>
              <w:t>一句话定位</w:t>
            </w:r>
            <w:r>
              <w:br/>
            </w:r>
            <w:r>
              <w:rPr>
                <w:rFonts w:ascii="微软雅黑" w:hAnsi="微软雅黑" w:eastAsia="微软雅黑"/>
                <w:b w:val="0"/>
                <w:color w:val="263445"/>
                <w:sz w:val="19"/>
              </w:rPr>
              <w:t>将割裂的网络设备、链路质量、跨层关系和事件快照整合为一个可视、可算、可复盘的网络态势操作平台。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</w:trPr>
        <w:tc>
          <w:tcPr>
            <w:tcW w:type="dxa" w:w="1757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12233A"/>
          </w:tcPr>
          <w:p>
            <w:pPr>
              <w:spacing w:after="0" w:line="269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维度</w:t>
            </w:r>
          </w:p>
        </w:tc>
        <w:tc>
          <w:tcPr>
            <w:tcW w:type="dxa" w:w="2551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12233A"/>
          </w:tcPr>
          <w:p>
            <w:pPr>
              <w:spacing w:after="0" w:line="269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当前基础</w:t>
            </w:r>
          </w:p>
        </w:tc>
        <w:tc>
          <w:tcPr>
            <w:tcW w:type="dxa" w:w="2551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12233A"/>
          </w:tcPr>
          <w:p>
            <w:pPr>
              <w:spacing w:after="0" w:line="269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商业包装表达</w:t>
            </w:r>
          </w:p>
        </w:tc>
        <w:tc>
          <w:tcPr>
            <w:tcW w:type="dxa" w:w="2268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12233A"/>
          </w:tcPr>
          <w:p>
            <w:pPr>
              <w:spacing w:after="0" w:line="269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赛事价值</w:t>
            </w:r>
          </w:p>
        </w:tc>
      </w:tr>
      <w:tr>
        <w:tc>
          <w:tcPr>
            <w:tcW w:type="dxa" w:w="1757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FFFFFF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产品</w:t>
            </w:r>
          </w:p>
        </w:tc>
        <w:tc>
          <w:tcPr>
            <w:tcW w:type="dxa" w:w="2551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FFFFFF"/>
          </w:tcPr>
          <w:p>
            <w:pPr>
              <w:spacing w:after="0" w:line="269" w:lineRule="auto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React + Leaflet 前端、Node.js 后端、Python 场景数据</w:t>
            </w:r>
          </w:p>
        </w:tc>
        <w:tc>
          <w:tcPr>
            <w:tcW w:type="dxa" w:w="2551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FFFFFF"/>
          </w:tcPr>
          <w:p>
            <w:pPr>
              <w:spacing w:after="0" w:line="269" w:lineRule="auto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三层异构网络态势感知平台</w:t>
            </w:r>
          </w:p>
        </w:tc>
        <w:tc>
          <w:tcPr>
            <w:tcW w:type="dxa" w:w="2268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FFFFFF"/>
          </w:tcPr>
          <w:p>
            <w:pPr>
              <w:spacing w:after="0" w:line="269" w:lineRule="auto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可演示、可部署、可扩展</w:t>
            </w:r>
          </w:p>
        </w:tc>
      </w:tr>
      <w:tr>
        <w:tc>
          <w:tcPr>
            <w:tcW w:type="dxa" w:w="1757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FFFFFF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技术</w:t>
            </w:r>
          </w:p>
        </w:tc>
        <w:tc>
          <w:tcPr>
            <w:tcW w:type="dxa" w:w="2551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FFFFFF"/>
          </w:tcPr>
          <w:p>
            <w:pPr>
              <w:spacing w:after="0" w:line="269" w:lineRule="auto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统一 Node/Link/Relation/Event/Snapshot 模型</w:t>
            </w:r>
          </w:p>
        </w:tc>
        <w:tc>
          <w:tcPr>
            <w:tcW w:type="dxa" w:w="2551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FFFFFF"/>
          </w:tcPr>
          <w:p>
            <w:pPr>
              <w:spacing w:after="0" w:line="269" w:lineRule="auto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跨层建模 + 事件驱动 + 历史回放</w:t>
            </w:r>
          </w:p>
        </w:tc>
        <w:tc>
          <w:tcPr>
            <w:tcW w:type="dxa" w:w="2268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FFFFFF"/>
          </w:tcPr>
          <w:p>
            <w:pPr>
              <w:spacing w:after="0" w:line="269" w:lineRule="auto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项目创新与专业能力</w:t>
            </w:r>
          </w:p>
        </w:tc>
      </w:tr>
      <w:tr>
        <w:tc>
          <w:tcPr>
            <w:tcW w:type="dxa" w:w="1757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FFFFFF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客户</w:t>
            </w:r>
          </w:p>
        </w:tc>
        <w:tc>
          <w:tcPr>
            <w:tcW w:type="dxa" w:w="2551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FFFFFF"/>
          </w:tcPr>
          <w:p>
            <w:pPr>
              <w:spacing w:after="0" w:line="269" w:lineRule="auto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校园/园区、应急通信、工业物联、边缘网络</w:t>
            </w:r>
          </w:p>
        </w:tc>
        <w:tc>
          <w:tcPr>
            <w:tcW w:type="dxa" w:w="2551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FFFFFF"/>
          </w:tcPr>
          <w:p>
            <w:pPr>
              <w:spacing w:after="0" w:line="269" w:lineRule="auto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先试点再行业复制</w:t>
            </w:r>
          </w:p>
        </w:tc>
        <w:tc>
          <w:tcPr>
            <w:tcW w:type="dxa" w:w="2268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FFFFFF"/>
          </w:tcPr>
          <w:p>
            <w:pPr>
              <w:spacing w:after="0" w:line="269" w:lineRule="auto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产业价值与落地路径</w:t>
            </w:r>
          </w:p>
        </w:tc>
      </w:tr>
      <w:tr>
        <w:tc>
          <w:tcPr>
            <w:tcW w:type="dxa" w:w="1757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FFFFFF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收入</w:t>
            </w:r>
          </w:p>
        </w:tc>
        <w:tc>
          <w:tcPr>
            <w:tcW w:type="dxa" w:w="2551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FFFFFF"/>
          </w:tcPr>
          <w:p>
            <w:pPr>
              <w:spacing w:after="0" w:line="269" w:lineRule="auto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PoC、私有化部署、模块授权、年度服务</w:t>
            </w:r>
          </w:p>
        </w:tc>
        <w:tc>
          <w:tcPr>
            <w:tcW w:type="dxa" w:w="2551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FFFFFF"/>
          </w:tcPr>
          <w:p>
            <w:pPr>
              <w:spacing w:after="0" w:line="269" w:lineRule="auto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轻资产项目制起步，逐步标准化</w:t>
            </w:r>
          </w:p>
        </w:tc>
        <w:tc>
          <w:tcPr>
            <w:tcW w:type="dxa" w:w="2268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FFFFFF"/>
          </w:tcPr>
          <w:p>
            <w:pPr>
              <w:spacing w:after="0" w:line="269" w:lineRule="auto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商业模式清晰</w:t>
            </w:r>
          </w:p>
        </w:tc>
      </w:tr>
    </w:tbl>
    <w:p>
      <w:pPr>
        <w:spacing w:before="0" w:after="120" w:line="293" w:lineRule="auto"/>
      </w:pPr>
      <w:r>
        <w:rPr>
          <w:rFonts w:ascii="微软雅黑" w:hAnsi="微软雅黑" w:eastAsia="微软雅黑"/>
          <w:b w:val="0"/>
          <w:color w:val="5C6F82"/>
          <w:sz w:val="19"/>
        </w:rPr>
        <w:t>当前演示指标：节点 19 个、链路 23 条、网络健康度 69%、平均时延 55.8ms、平均丢包率 4.29%。这些指标来自 Project-001/metrics.json，可作为原型可运行性的量化证据。</w:t>
      </w:r>
    </w:p>
    <w:p>
      <w:pPr>
        <w:pStyle w:val="Heading1"/>
        <w:spacing w:before="240" w:after="120"/>
      </w:pPr>
      <w:r>
        <w:t>2. 赛事评审对齐与项目定位</w:t>
      </w:r>
    </w:p>
    <w:p>
      <w:pPr>
        <w:spacing w:before="0" w:after="120" w:line="293" w:lineRule="auto"/>
      </w:pPr>
      <w:r>
        <w:rPr>
          <w:rFonts w:ascii="微软雅黑" w:hAnsi="微软雅黑" w:eastAsia="微软雅黑"/>
          <w:b w:val="0"/>
          <w:color w:val="1F2937"/>
          <w:sz w:val="21"/>
        </w:rPr>
        <w:t>中国国际大学生创新创业大赛/中国国际大学生创新大赛强调学生成长、项目创新、产业价值和团队协作。本项目适合按照“新工科 + 信息通信 + 网络安全/物联网运维”的方向包装，以技术原型支撑商业计划，以真实行业痛点支撑市场逻辑。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1814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12233A"/>
          </w:tcPr>
          <w:p>
            <w:pPr>
              <w:spacing w:after="0" w:line="269" w:lineRule="auto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评审关注</w:t>
            </w:r>
          </w:p>
        </w:tc>
        <w:tc>
          <w:tcPr>
            <w:tcW w:type="dxa" w:w="3402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12233A"/>
          </w:tcPr>
          <w:p>
            <w:pPr>
              <w:spacing w:after="0" w:line="269" w:lineRule="auto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材料表达重点</w:t>
            </w:r>
          </w:p>
        </w:tc>
        <w:tc>
          <w:tcPr>
            <w:tcW w:type="dxa" w:w="3798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12233A"/>
          </w:tcPr>
          <w:p>
            <w:pPr>
              <w:spacing w:after="0" w:line="269" w:lineRule="auto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本项目对应内容</w:t>
            </w:r>
          </w:p>
        </w:tc>
      </w:tr>
      <w:tr>
        <w:tc>
          <w:tcPr>
            <w:tcW w:type="dxa" w:w="1814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FFFFFF"/>
          </w:tcPr>
          <w:p>
            <w:pPr>
              <w:spacing w:after="0" w:line="269" w:lineRule="auto"/>
            </w:pPr>
            <w:r/>
            <w:r>
              <w:rPr>
                <w:rFonts w:ascii="微软雅黑" w:hAnsi="微软雅黑" w:eastAsia="微软雅黑"/>
                <w:b/>
                <w:color w:val="1F2937"/>
                <w:sz w:val="17"/>
              </w:rPr>
              <w:t>个人成长</w:t>
            </w:r>
          </w:p>
        </w:tc>
        <w:tc>
          <w:tcPr>
            <w:tcW w:type="dxa" w:w="3402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FFFFFF"/>
          </w:tcPr>
          <w:p>
            <w:pPr>
              <w:spacing w:after="0" w:line="269" w:lineRule="auto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专业知识与商业知识结合、调研深入、团队能力提升</w:t>
            </w:r>
          </w:p>
        </w:tc>
        <w:tc>
          <w:tcPr>
            <w:tcW w:type="dxa" w:w="3798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FFFFFF"/>
          </w:tcPr>
          <w:p>
            <w:pPr>
              <w:spacing w:after="0" w:line="269" w:lineRule="auto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通信网络、Web 工程、数据建模、可视化交互、商业测算</w:t>
            </w:r>
          </w:p>
        </w:tc>
      </w:tr>
      <w:tr>
        <w:tc>
          <w:tcPr>
            <w:tcW w:type="dxa" w:w="1814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FFFFFF"/>
          </w:tcPr>
          <w:p>
            <w:pPr>
              <w:spacing w:after="0" w:line="269" w:lineRule="auto"/>
            </w:pPr>
            <w:r/>
            <w:r>
              <w:rPr>
                <w:rFonts w:ascii="微软雅黑" w:hAnsi="微软雅黑" w:eastAsia="微软雅黑"/>
                <w:b/>
                <w:color w:val="1F2937"/>
                <w:sz w:val="17"/>
              </w:rPr>
              <w:t>项目创新</w:t>
            </w:r>
          </w:p>
        </w:tc>
        <w:tc>
          <w:tcPr>
            <w:tcW w:type="dxa" w:w="3402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FFFFFF"/>
          </w:tcPr>
          <w:p>
            <w:pPr>
              <w:spacing w:after="0" w:line="269" w:lineRule="auto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问题导向、目标导向、创新成效</w:t>
            </w:r>
          </w:p>
        </w:tc>
        <w:tc>
          <w:tcPr>
            <w:tcW w:type="dxa" w:w="3798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FFFFFF"/>
          </w:tcPr>
          <w:p>
            <w:pPr>
              <w:spacing w:after="0" w:line="269" w:lineRule="auto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跨层关系一等建模、事件快照、历史回放、可计算拓扑分析</w:t>
            </w:r>
          </w:p>
        </w:tc>
      </w:tr>
      <w:tr>
        <w:tc>
          <w:tcPr>
            <w:tcW w:type="dxa" w:w="1814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FFFFFF"/>
          </w:tcPr>
          <w:p>
            <w:pPr>
              <w:spacing w:after="0" w:line="269" w:lineRule="auto"/>
            </w:pPr>
            <w:r/>
            <w:r>
              <w:rPr>
                <w:rFonts w:ascii="微软雅黑" w:hAnsi="微软雅黑" w:eastAsia="微软雅黑"/>
                <w:b/>
                <w:color w:val="1F2937"/>
                <w:sz w:val="17"/>
              </w:rPr>
              <w:t>产业价值</w:t>
            </w:r>
          </w:p>
        </w:tc>
        <w:tc>
          <w:tcPr>
            <w:tcW w:type="dxa" w:w="3402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FFFFFF"/>
          </w:tcPr>
          <w:p>
            <w:pPr>
              <w:spacing w:after="0" w:line="269" w:lineRule="auto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市场定位、商业模式、发展前景</w:t>
            </w:r>
          </w:p>
        </w:tc>
        <w:tc>
          <w:tcPr>
            <w:tcW w:type="dxa" w:w="3798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FFFFFF"/>
          </w:tcPr>
          <w:p>
            <w:pPr>
              <w:spacing w:after="0" w:line="269" w:lineRule="auto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面向应急通信、校园/园区专网、工业物联与边缘网络运维</w:t>
            </w:r>
          </w:p>
        </w:tc>
      </w:tr>
      <w:tr>
        <w:tc>
          <w:tcPr>
            <w:tcW w:type="dxa" w:w="1814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FFFFFF"/>
          </w:tcPr>
          <w:p>
            <w:pPr>
              <w:spacing w:after="0" w:line="269" w:lineRule="auto"/>
            </w:pPr>
            <w:r/>
            <w:r>
              <w:rPr>
                <w:rFonts w:ascii="微软雅黑" w:hAnsi="微软雅黑" w:eastAsia="微软雅黑"/>
                <w:b/>
                <w:color w:val="1F2937"/>
                <w:sz w:val="17"/>
              </w:rPr>
              <w:t>团队协作</w:t>
            </w:r>
          </w:p>
        </w:tc>
        <w:tc>
          <w:tcPr>
            <w:tcW w:type="dxa" w:w="3402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FFFFFF"/>
          </w:tcPr>
          <w:p>
            <w:pPr>
              <w:spacing w:after="0" w:line="269" w:lineRule="auto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组织结构、资源整合、创业可能性</w:t>
            </w:r>
          </w:p>
        </w:tc>
        <w:tc>
          <w:tcPr>
            <w:tcW w:type="dxa" w:w="3798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FFFFFF"/>
          </w:tcPr>
          <w:p>
            <w:pPr>
              <w:spacing w:after="0" w:line="269" w:lineRule="auto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待补充成员分工、导师资源、实验平台、试点单位与知识产权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159"/>
            <w:shd w:fill="16C784"/>
            <w:tcBorders>
              <w:top w:val="single" w:sz="6" w:space="0" w:color="16C784"/>
              <w:left w:val="single" w:sz="6" w:space="0" w:color="16C784"/>
              <w:bottom w:val="single" w:sz="6" w:space="0" w:color="16C784"/>
              <w:right w:val="single" w:sz="6" w:space="0" w:color="16C784"/>
            </w:tcBorders>
          </w:tcPr>
          <w:p/>
        </w:tc>
        <w:tc>
          <w:tcPr>
            <w:tcW w:type="dxa" w:w="8901"/>
            <w:shd w:fill="F2FFF8"/>
            <w:tcBorders>
              <w:top w:val="single" w:sz="6" w:space="0" w:color="F2FFF8"/>
              <w:left w:val="single" w:sz="6" w:space="0" w:color="F2FFF8"/>
              <w:bottom w:val="single" w:sz="6" w:space="0" w:color="F2FFF8"/>
              <w:right w:val="single" w:sz="6" w:space="0" w:color="F2FFF8"/>
            </w:tcBorders>
          </w:tcPr>
          <w:p>
            <w:r>
              <w:rPr>
                <w:rFonts w:ascii="微软雅黑" w:hAnsi="微软雅黑" w:eastAsia="微软雅黑"/>
                <w:b/>
                <w:color w:val="0B1524"/>
                <w:sz w:val="21"/>
              </w:rPr>
              <w:t>参赛包装建议</w:t>
            </w:r>
            <w:r>
              <w:br/>
            </w:r>
            <w:r>
              <w:rPr>
                <w:rFonts w:ascii="微软雅黑" w:hAnsi="微软雅黑" w:eastAsia="微软雅黑"/>
                <w:b w:val="0"/>
                <w:color w:val="263445"/>
                <w:sz w:val="19"/>
              </w:rPr>
              <w:t>若团队尚未注册企业或没有销售订单，建议以“高教主赛道创意组/成长组”语言包装：强调原型可运行、应用场景明确、成果转化路径可信；若已有试点合同或企业主体，可进一步按创业组口径强化经营数据。</w:t>
            </w:r>
          </w:p>
        </w:tc>
      </w:tr>
    </w:tbl>
    <w:p>
      <w:pPr>
        <w:spacing w:after="40"/>
      </w:pPr>
    </w:p>
    <w:p>
      <w:pPr>
        <w:pStyle w:val="Heading1"/>
        <w:spacing w:before="240" w:after="120"/>
      </w:pPr>
      <w:r>
        <w:t>3. 行业痛点与市场机会</w:t>
      </w:r>
    </w:p>
    <w:p>
      <w:pPr>
        <w:spacing w:before="0" w:after="120" w:line="293" w:lineRule="auto"/>
      </w:pPr>
      <w:r>
        <w:rPr>
          <w:rFonts w:ascii="微软雅黑" w:hAnsi="微软雅黑" w:eastAsia="微软雅黑"/>
          <w:b w:val="0"/>
          <w:color w:val="1F2937"/>
          <w:sz w:val="21"/>
        </w:rPr>
        <w:t>专网、应急通信、校园/园区物联网和边缘网络正在从单一链路、单一设备监控，转向跨层、多源、动态协同的网络态势管理。传统网管工具重资产、部署门槛高，GIS 或地图系统更偏位置呈现，IoT 平台偏设备接入和业务数据，对“网络拓扑关系、链路质量、告警事件、历史回放”的联动支持不足。</w:t>
      </w:r>
    </w:p>
    <w:p>
      <w:pPr>
        <w:pStyle w:val="ListBullet"/>
        <w:spacing w:after="60" w:line="283" w:lineRule="auto"/>
      </w:pPr>
      <w:r>
        <w:rPr>
          <w:rFonts w:ascii="微软雅黑" w:hAnsi="微软雅黑" w:eastAsia="微软雅黑"/>
          <w:b w:val="0"/>
          <w:color w:val="1F2937"/>
          <w:sz w:val="20"/>
        </w:rPr>
        <w:t>态势割裂：骨干、接入、无线中继、终端与卫星/无人机回传分属不同系统，故障定位需要人工拼图。</w:t>
      </w:r>
    </w:p>
    <w:p>
      <w:pPr>
        <w:pStyle w:val="ListBullet"/>
        <w:spacing w:after="60" w:line="283" w:lineRule="auto"/>
      </w:pPr>
      <w:r>
        <w:rPr>
          <w:rFonts w:ascii="微软雅黑" w:hAnsi="微软雅黑" w:eastAsia="微软雅黑"/>
          <w:b w:val="0"/>
          <w:color w:val="1F2937"/>
          <w:sz w:val="20"/>
        </w:rPr>
        <w:t>事件滞后：链路丢包、时延、SNR、节点离线等变化不能及时进入统一事件流，影响应急响应。</w:t>
      </w:r>
    </w:p>
    <w:p>
      <w:pPr>
        <w:pStyle w:val="ListBullet"/>
        <w:spacing w:after="60" w:line="283" w:lineRule="auto"/>
      </w:pPr>
      <w:r>
        <w:rPr>
          <w:rFonts w:ascii="微软雅黑" w:hAnsi="微软雅黑" w:eastAsia="微软雅黑"/>
          <w:b w:val="0"/>
          <w:color w:val="1F2937"/>
          <w:sz w:val="20"/>
        </w:rPr>
        <w:t>复盘缺口：演练和事故后缺少可回放的历史快照，难以复现故障传播路径和处置过程。</w:t>
      </w:r>
    </w:p>
    <w:p>
      <w:pPr>
        <w:pStyle w:val="ListBullet"/>
        <w:spacing w:after="60" w:line="283" w:lineRule="auto"/>
      </w:pPr>
      <w:r>
        <w:rPr>
          <w:rFonts w:ascii="微软雅黑" w:hAnsi="微软雅黑" w:eastAsia="微软雅黑"/>
          <w:b w:val="0"/>
          <w:color w:val="1F2937"/>
          <w:sz w:val="20"/>
        </w:rPr>
        <w:t>成本矛盾：中小型园区、实验室和教学科研场景需要轻量可部署工具，而非重型商业网管。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</w:trPr>
        <w:tc>
          <w:tcPr>
            <w:tcW w:type="dxa" w:w="1701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12233A"/>
          </w:tcPr>
          <w:p>
            <w:pPr>
              <w:spacing w:after="0" w:line="269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场景</w:t>
            </w:r>
          </w:p>
        </w:tc>
        <w:tc>
          <w:tcPr>
            <w:tcW w:type="dxa" w:w="2721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12233A"/>
          </w:tcPr>
          <w:p>
            <w:pPr>
              <w:spacing w:after="0" w:line="269" w:lineRule="auto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典型需求</w:t>
            </w:r>
          </w:p>
        </w:tc>
        <w:tc>
          <w:tcPr>
            <w:tcW w:type="dxa" w:w="2551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12233A"/>
          </w:tcPr>
          <w:p>
            <w:pPr>
              <w:spacing w:after="0" w:line="269" w:lineRule="auto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付费动因</w:t>
            </w:r>
          </w:p>
        </w:tc>
        <w:tc>
          <w:tcPr>
            <w:tcW w:type="dxa" w:w="2098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12233A"/>
          </w:tcPr>
          <w:p>
            <w:pPr>
              <w:spacing w:after="0" w:line="269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切入优先级</w:t>
            </w:r>
          </w:p>
        </w:tc>
      </w:tr>
      <w:tr>
        <w:tc>
          <w:tcPr>
            <w:tcW w:type="dxa" w:w="1701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FFFFFF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2937"/>
                <w:sz w:val="17"/>
              </w:rPr>
              <w:t>高校/园区专网</w:t>
            </w:r>
          </w:p>
        </w:tc>
        <w:tc>
          <w:tcPr>
            <w:tcW w:type="dxa" w:w="2721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FFFFFF"/>
          </w:tcPr>
          <w:p>
            <w:pPr>
              <w:spacing w:after="0" w:line="269" w:lineRule="auto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IoT、安防、边缘节点、实验网络统一展示</w:t>
            </w:r>
          </w:p>
        </w:tc>
        <w:tc>
          <w:tcPr>
            <w:tcW w:type="dxa" w:w="2551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FFFFFF"/>
          </w:tcPr>
          <w:p>
            <w:pPr>
              <w:spacing w:after="0" w:line="269" w:lineRule="auto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低成本演示、运维效率、科研平台</w:t>
            </w:r>
          </w:p>
        </w:tc>
        <w:tc>
          <w:tcPr>
            <w:tcW w:type="dxa" w:w="2098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FFFFFF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高</w:t>
            </w:r>
          </w:p>
        </w:tc>
      </w:tr>
      <w:tr>
        <w:tc>
          <w:tcPr>
            <w:tcW w:type="dxa" w:w="1701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FFFFFF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2937"/>
                <w:sz w:val="17"/>
              </w:rPr>
              <w:t>应急通信演练</w:t>
            </w:r>
          </w:p>
        </w:tc>
        <w:tc>
          <w:tcPr>
            <w:tcW w:type="dxa" w:w="2721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FFFFFF"/>
          </w:tcPr>
          <w:p>
            <w:pPr>
              <w:spacing w:after="0" w:line="269" w:lineRule="auto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临时组网、无人机中继、卫星回传态势</w:t>
            </w:r>
          </w:p>
        </w:tc>
        <w:tc>
          <w:tcPr>
            <w:tcW w:type="dxa" w:w="2551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FFFFFF"/>
          </w:tcPr>
          <w:p>
            <w:pPr>
              <w:spacing w:after="0" w:line="269" w:lineRule="auto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快速定位、演练复盘、指挥可视化</w:t>
            </w:r>
          </w:p>
        </w:tc>
        <w:tc>
          <w:tcPr>
            <w:tcW w:type="dxa" w:w="2098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FFFFFF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高</w:t>
            </w:r>
          </w:p>
        </w:tc>
      </w:tr>
      <w:tr>
        <w:tc>
          <w:tcPr>
            <w:tcW w:type="dxa" w:w="1701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FFFFFF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2937"/>
                <w:sz w:val="17"/>
              </w:rPr>
              <w:t>工业物联网</w:t>
            </w:r>
          </w:p>
        </w:tc>
        <w:tc>
          <w:tcPr>
            <w:tcW w:type="dxa" w:w="2721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FFFFFF"/>
          </w:tcPr>
          <w:p>
            <w:pPr>
              <w:spacing w:after="0" w:line="269" w:lineRule="auto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远程站点链路质量与资产状态监控</w:t>
            </w:r>
          </w:p>
        </w:tc>
        <w:tc>
          <w:tcPr>
            <w:tcW w:type="dxa" w:w="2551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FFFFFF"/>
          </w:tcPr>
          <w:p>
            <w:pPr>
              <w:spacing w:after="0" w:line="269" w:lineRule="auto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停机损失控制、运维降本</w:t>
            </w:r>
          </w:p>
        </w:tc>
        <w:tc>
          <w:tcPr>
            <w:tcW w:type="dxa" w:w="2098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FFFFFF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中</w:t>
            </w:r>
          </w:p>
        </w:tc>
      </w:tr>
      <w:tr>
        <w:tc>
          <w:tcPr>
            <w:tcW w:type="dxa" w:w="1701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FFFFFF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2937"/>
                <w:sz w:val="17"/>
              </w:rPr>
              <w:t>运营商边缘网络</w:t>
            </w:r>
          </w:p>
        </w:tc>
        <w:tc>
          <w:tcPr>
            <w:tcW w:type="dxa" w:w="2721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FFFFFF"/>
          </w:tcPr>
          <w:p>
            <w:pPr>
              <w:spacing w:after="0" w:line="269" w:lineRule="auto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多接入边缘链路与终端拓扑联动</w:t>
            </w:r>
          </w:p>
        </w:tc>
        <w:tc>
          <w:tcPr>
            <w:tcW w:type="dxa" w:w="2551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FFFFFF"/>
          </w:tcPr>
          <w:p>
            <w:pPr>
              <w:spacing w:after="0" w:line="269" w:lineRule="auto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系统集成、模块化补强</w:t>
            </w:r>
          </w:p>
        </w:tc>
        <w:tc>
          <w:tcPr>
            <w:tcW w:type="dxa" w:w="2098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FFFFFF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中</w:t>
            </w:r>
          </w:p>
        </w:tc>
      </w:tr>
    </w:tbl>
    <w:p>
      <w:pPr>
        <w:pStyle w:val="Heading1"/>
        <w:spacing w:before="240" w:after="120"/>
      </w:pPr>
      <w:r>
        <w:t>4. 产品与解决方案</w:t>
      </w:r>
    </w:p>
    <w:p>
      <w:pPr>
        <w:spacing w:before="0" w:after="120" w:line="293" w:lineRule="auto"/>
      </w:pPr>
      <w:r>
        <w:rPr>
          <w:rFonts w:ascii="微软雅黑" w:hAnsi="微软雅黑" w:eastAsia="微软雅黑"/>
          <w:b w:val="0"/>
          <w:color w:val="1F2937"/>
          <w:sz w:val="21"/>
        </w:rPr>
        <w:t>物联慧眼以“统一建模 - 实时更新 - 可视分析 - 历史复盘”为核心闭环。前端负责地图渲染、节点筛选、链路状态表达、详情面板、回放控制和分析结果展示；后端负责模型持久化、Python 场景数据适配、事件处理、告警推导、REST API 与历史帧组织。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3199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duct-screensho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199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93" w:lineRule="auto"/>
        <w:jc w:val="center"/>
      </w:pPr>
      <w:r>
        <w:rPr>
          <w:rFonts w:ascii="微软雅黑" w:hAnsi="微软雅黑" w:eastAsia="微软雅黑"/>
          <w:b w:val="0"/>
          <w:color w:val="5C6F82"/>
          <w:sz w:val="17"/>
        </w:rPr>
        <w:t>图 1 当前星火杯版本产品界面截图：地图态势、控制面板、KPI、回放与告警入口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1814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12233A"/>
          </w:tcPr>
          <w:p>
            <w:pPr>
              <w:spacing w:after="0" w:line="269" w:lineRule="auto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产品模块</w:t>
            </w:r>
          </w:p>
        </w:tc>
        <w:tc>
          <w:tcPr>
            <w:tcW w:type="dxa" w:w="3572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12233A"/>
          </w:tcPr>
          <w:p>
            <w:pPr>
              <w:spacing w:after="0" w:line="269" w:lineRule="auto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核心功能</w:t>
            </w:r>
          </w:p>
        </w:tc>
        <w:tc>
          <w:tcPr>
            <w:tcW w:type="dxa" w:w="3685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12233A"/>
          </w:tcPr>
          <w:p>
            <w:pPr>
              <w:spacing w:after="0" w:line="269" w:lineRule="auto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客户价值</w:t>
            </w:r>
          </w:p>
        </w:tc>
      </w:tr>
      <w:tr>
        <w:tc>
          <w:tcPr>
            <w:tcW w:type="dxa" w:w="1814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FFFFFF"/>
          </w:tcPr>
          <w:p>
            <w:pPr>
              <w:spacing w:after="0" w:line="269" w:lineRule="auto"/>
            </w:pPr>
            <w:r/>
            <w:r>
              <w:rPr>
                <w:rFonts w:ascii="微软雅黑" w:hAnsi="微软雅黑" w:eastAsia="微软雅黑"/>
                <w:b/>
                <w:color w:val="1F2937"/>
                <w:sz w:val="17"/>
              </w:rPr>
              <w:t>统一拓扑建模</w:t>
            </w:r>
          </w:p>
        </w:tc>
        <w:tc>
          <w:tcPr>
            <w:tcW w:type="dxa" w:w="3572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FFFFFF"/>
          </w:tcPr>
          <w:p>
            <w:pPr>
              <w:spacing w:after="0" w:line="269" w:lineRule="auto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Node、Link、CrossLayerRelation、NetworkEvent、SituationSnapshot</w:t>
            </w:r>
          </w:p>
        </w:tc>
        <w:tc>
          <w:tcPr>
            <w:tcW w:type="dxa" w:w="3685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FFFFFF"/>
          </w:tcPr>
          <w:p>
            <w:pPr>
              <w:spacing w:after="0" w:line="269" w:lineRule="auto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将跨层通信关系变成可计算资产</w:t>
            </w:r>
          </w:p>
        </w:tc>
      </w:tr>
      <w:tr>
        <w:tc>
          <w:tcPr>
            <w:tcW w:type="dxa" w:w="1814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FFFFFF"/>
          </w:tcPr>
          <w:p>
            <w:pPr>
              <w:spacing w:after="0" w:line="269" w:lineRule="auto"/>
            </w:pPr>
            <w:r/>
            <w:r>
              <w:rPr>
                <w:rFonts w:ascii="微软雅黑" w:hAnsi="微软雅黑" w:eastAsia="微软雅黑"/>
                <w:b/>
                <w:color w:val="1F2937"/>
                <w:sz w:val="17"/>
              </w:rPr>
              <w:t>实时态势看板</w:t>
            </w:r>
          </w:p>
        </w:tc>
        <w:tc>
          <w:tcPr>
            <w:tcW w:type="dxa" w:w="3572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FFFFFF"/>
          </w:tcPr>
          <w:p>
            <w:pPr>
              <w:spacing w:after="0" w:line="269" w:lineRule="auto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动态节点、链路健康、KPI、告警、过滤搜索、详情联动</w:t>
            </w:r>
          </w:p>
        </w:tc>
        <w:tc>
          <w:tcPr>
            <w:tcW w:type="dxa" w:w="3685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FFFFFF"/>
          </w:tcPr>
          <w:p>
            <w:pPr>
              <w:spacing w:after="0" w:line="269" w:lineRule="auto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减少人工切换系统和定位时间</w:t>
            </w:r>
          </w:p>
        </w:tc>
      </w:tr>
      <w:tr>
        <w:tc>
          <w:tcPr>
            <w:tcW w:type="dxa" w:w="1814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FFFFFF"/>
          </w:tcPr>
          <w:p>
            <w:pPr>
              <w:spacing w:after="0" w:line="269" w:lineRule="auto"/>
            </w:pPr>
            <w:r/>
            <w:r>
              <w:rPr>
                <w:rFonts w:ascii="微软雅黑" w:hAnsi="微软雅黑" w:eastAsia="微软雅黑"/>
                <w:b/>
                <w:color w:val="1F2937"/>
                <w:sz w:val="17"/>
              </w:rPr>
              <w:t>历史回放</w:t>
            </w:r>
          </w:p>
        </w:tc>
        <w:tc>
          <w:tcPr>
            <w:tcW w:type="dxa" w:w="3572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FFFFFF"/>
          </w:tcPr>
          <w:p>
            <w:pPr>
              <w:spacing w:after="0" w:line="269" w:lineRule="auto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内存环形帧缓存、事件时间轴、播放/暂停/帧切换</w:t>
            </w:r>
          </w:p>
        </w:tc>
        <w:tc>
          <w:tcPr>
            <w:tcW w:type="dxa" w:w="3685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FFFFFF"/>
          </w:tcPr>
          <w:p>
            <w:pPr>
              <w:spacing w:after="0" w:line="269" w:lineRule="auto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支持应急演练复盘和责任分析</w:t>
            </w:r>
          </w:p>
        </w:tc>
      </w:tr>
      <w:tr>
        <w:tc>
          <w:tcPr>
            <w:tcW w:type="dxa" w:w="1814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FFFFFF"/>
          </w:tcPr>
          <w:p>
            <w:pPr>
              <w:spacing w:after="0" w:line="269" w:lineRule="auto"/>
            </w:pPr>
            <w:r/>
            <w:r>
              <w:rPr>
                <w:rFonts w:ascii="微软雅黑" w:hAnsi="微软雅黑" w:eastAsia="微软雅黑"/>
                <w:b/>
                <w:color w:val="1F2937"/>
                <w:sz w:val="17"/>
              </w:rPr>
              <w:t>图分析能力</w:t>
            </w:r>
          </w:p>
        </w:tc>
        <w:tc>
          <w:tcPr>
            <w:tcW w:type="dxa" w:w="3572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FFFFFF"/>
          </w:tcPr>
          <w:p>
            <w:pPr>
              <w:spacing w:after="0" w:line="269" w:lineRule="auto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连通性分析、时延加权最短路径、影响范围提示</w:t>
            </w:r>
          </w:p>
        </w:tc>
        <w:tc>
          <w:tcPr>
            <w:tcW w:type="dxa" w:w="3685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FFFFFF"/>
          </w:tcPr>
          <w:p>
            <w:pPr>
              <w:spacing w:after="0" w:line="269" w:lineRule="auto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从“看到异常”走向“理解影响”</w:t>
            </w:r>
          </w:p>
        </w:tc>
      </w:tr>
      <w:tr>
        <w:tc>
          <w:tcPr>
            <w:tcW w:type="dxa" w:w="1814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FFFFFF"/>
          </w:tcPr>
          <w:p>
            <w:pPr>
              <w:spacing w:after="0" w:line="269" w:lineRule="auto"/>
            </w:pPr>
            <w:r/>
            <w:r>
              <w:rPr>
                <w:rFonts w:ascii="微软雅黑" w:hAnsi="微软雅黑" w:eastAsia="微软雅黑"/>
                <w:b/>
                <w:color w:val="1F2937"/>
                <w:sz w:val="17"/>
              </w:rPr>
              <w:t>场景适配</w:t>
            </w:r>
          </w:p>
        </w:tc>
        <w:tc>
          <w:tcPr>
            <w:tcW w:type="dxa" w:w="3572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FFFFFF"/>
          </w:tcPr>
          <w:p>
            <w:pPr>
              <w:spacing w:after="0" w:line="269" w:lineRule="auto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Python 快照/指标/事件文件接入，命令队列支持动态节点操作</w:t>
            </w:r>
          </w:p>
        </w:tc>
        <w:tc>
          <w:tcPr>
            <w:tcW w:type="dxa" w:w="3685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FFFFFF"/>
          </w:tcPr>
          <w:p>
            <w:pPr>
              <w:spacing w:after="0" w:line="269" w:lineRule="auto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便于教学科研、行业演练和二次开发</w:t>
            </w:r>
          </w:p>
        </w:tc>
      </w:tr>
    </w:tbl>
    <w:p>
      <w:pPr>
        <w:pStyle w:val="Heading1"/>
        <w:spacing w:before="240" w:after="120"/>
      </w:pPr>
      <w:r>
        <w:t>5. 技术路线与研发基础</w:t>
      </w:r>
    </w:p>
    <w:p>
      <w:pPr>
        <w:spacing w:before="0" w:after="120" w:line="293" w:lineRule="auto"/>
      </w:pPr>
      <w:r>
        <w:rPr>
          <w:rFonts w:ascii="微软雅黑" w:hAnsi="微软雅黑" w:eastAsia="微软雅黑"/>
          <w:b w:val="0"/>
          <w:color w:val="1F2937"/>
          <w:sz w:val="21"/>
        </w:rPr>
        <w:t>项目采用 React + Leaflet/MapLibre/Deck.gl 的前端可视化技术栈，后端采用 Node.js 原生 HTTP 服务与仓储模式，Python 侧提供三层网络场景数据生成与导出。该架构符合原型阶段“可运行、可演示、可扩展”的要求，同时保留未来对真实采集系统、数据库和 WebSocket 通道的集成空间。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</w:trPr>
        <w:tc>
          <w:tcPr>
            <w:tcW w:type="dxa" w:w="1701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12233A"/>
          </w:tcPr>
          <w:p>
            <w:pPr>
              <w:spacing w:after="0" w:line="269" w:lineRule="auto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层级</w:t>
            </w:r>
          </w:p>
        </w:tc>
        <w:tc>
          <w:tcPr>
            <w:tcW w:type="dxa" w:w="2268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12233A"/>
          </w:tcPr>
          <w:p>
            <w:pPr>
              <w:spacing w:after="0" w:line="269" w:lineRule="auto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实现基础</w:t>
            </w:r>
          </w:p>
        </w:tc>
        <w:tc>
          <w:tcPr>
            <w:tcW w:type="dxa" w:w="2665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12233A"/>
          </w:tcPr>
          <w:p>
            <w:pPr>
              <w:spacing w:after="0" w:line="269" w:lineRule="auto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当前证据</w:t>
            </w:r>
          </w:p>
        </w:tc>
        <w:tc>
          <w:tcPr>
            <w:tcW w:type="dxa" w:w="2438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12233A"/>
          </w:tcPr>
          <w:p>
            <w:pPr>
              <w:spacing w:after="0" w:line="269" w:lineRule="auto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扩展方向</w:t>
            </w:r>
          </w:p>
        </w:tc>
      </w:tr>
      <w:tr>
        <w:tc>
          <w:tcPr>
            <w:tcW w:type="dxa" w:w="1701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FFFFFF"/>
          </w:tcPr>
          <w:p>
            <w:pPr>
              <w:spacing w:after="0" w:line="269" w:lineRule="auto"/>
            </w:pPr>
            <w:r/>
            <w:r>
              <w:rPr>
                <w:rFonts w:ascii="微软雅黑" w:hAnsi="微软雅黑" w:eastAsia="微软雅黑"/>
                <w:b/>
                <w:color w:val="1F2937"/>
                <w:sz w:val="17"/>
              </w:rPr>
              <w:t>前端可视层</w:t>
            </w:r>
          </w:p>
        </w:tc>
        <w:tc>
          <w:tcPr>
            <w:tcW w:type="dxa" w:w="2268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FFFFFF"/>
          </w:tcPr>
          <w:p>
            <w:pPr>
              <w:spacing w:after="0" w:line="269" w:lineRule="auto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React、Leaflet、MapLibre、Deck.gl</w:t>
            </w:r>
          </w:p>
        </w:tc>
        <w:tc>
          <w:tcPr>
            <w:tcW w:type="dxa" w:w="2665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FFFFFF"/>
          </w:tcPr>
          <w:p>
            <w:pPr>
              <w:spacing w:after="0" w:line="269" w:lineRule="auto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2D/3D 模式、节点列表、过滤搜索、详情、回放面板</w:t>
            </w:r>
          </w:p>
        </w:tc>
        <w:tc>
          <w:tcPr>
            <w:tcW w:type="dxa" w:w="2438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FFFFFF"/>
          </w:tcPr>
          <w:p>
            <w:pPr>
              <w:spacing w:after="0" w:line="269" w:lineRule="auto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大屏模式、告警联动、趋势图</w:t>
            </w:r>
          </w:p>
        </w:tc>
      </w:tr>
      <w:tr>
        <w:tc>
          <w:tcPr>
            <w:tcW w:type="dxa" w:w="1701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FFFFFF"/>
          </w:tcPr>
          <w:p>
            <w:pPr>
              <w:spacing w:after="0" w:line="269" w:lineRule="auto"/>
            </w:pPr>
            <w:r/>
            <w:r>
              <w:rPr>
                <w:rFonts w:ascii="微软雅黑" w:hAnsi="微软雅黑" w:eastAsia="微软雅黑"/>
                <w:b/>
                <w:color w:val="1F2937"/>
                <w:sz w:val="17"/>
              </w:rPr>
              <w:t>服务接口层</w:t>
            </w:r>
          </w:p>
        </w:tc>
        <w:tc>
          <w:tcPr>
            <w:tcW w:type="dxa" w:w="2268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FFFFFF"/>
          </w:tcPr>
          <w:p>
            <w:pPr>
              <w:spacing w:after="0" w:line="269" w:lineRule="auto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Node.js REST API</w:t>
            </w:r>
          </w:p>
        </w:tc>
        <w:tc>
          <w:tcPr>
            <w:tcW w:type="dxa" w:w="2665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FFFFFF"/>
          </w:tcPr>
          <w:p>
            <w:pPr>
              <w:spacing w:after="0" w:line="269" w:lineRule="auto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/api/topology、/api/events、/api/playback/frames 等</w:t>
            </w:r>
          </w:p>
        </w:tc>
        <w:tc>
          <w:tcPr>
            <w:tcW w:type="dxa" w:w="2438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FFFFFF"/>
          </w:tcPr>
          <w:p>
            <w:pPr>
              <w:spacing w:after="0" w:line="269" w:lineRule="auto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WebSocket 频道、API 鉴权、接口文档</w:t>
            </w:r>
          </w:p>
        </w:tc>
      </w:tr>
      <w:tr>
        <w:tc>
          <w:tcPr>
            <w:tcW w:type="dxa" w:w="1701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FFFFFF"/>
          </w:tcPr>
          <w:p>
            <w:pPr>
              <w:spacing w:after="0" w:line="269" w:lineRule="auto"/>
            </w:pPr>
            <w:r/>
            <w:r>
              <w:rPr>
                <w:rFonts w:ascii="微软雅黑" w:hAnsi="微软雅黑" w:eastAsia="微软雅黑"/>
                <w:b/>
                <w:color w:val="1F2937"/>
                <w:sz w:val="17"/>
              </w:rPr>
              <w:t>数据模型层</w:t>
            </w:r>
          </w:p>
        </w:tc>
        <w:tc>
          <w:tcPr>
            <w:tcW w:type="dxa" w:w="2268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FFFFFF"/>
          </w:tcPr>
          <w:p>
            <w:pPr>
              <w:spacing w:after="0" w:line="269" w:lineRule="auto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统一拓扑仓储与 Python 文件适配</w:t>
            </w:r>
          </w:p>
        </w:tc>
        <w:tc>
          <w:tcPr>
            <w:tcW w:type="dxa" w:w="2665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FFFFFF"/>
          </w:tcPr>
          <w:p>
            <w:pPr>
              <w:spacing w:after="0" w:line="269" w:lineRule="auto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Node/Link/Relation/Event/Snapshot 统一组织</w:t>
            </w:r>
          </w:p>
        </w:tc>
        <w:tc>
          <w:tcPr>
            <w:tcW w:type="dxa" w:w="2438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FFFFFF"/>
          </w:tcPr>
          <w:p>
            <w:pPr>
              <w:spacing w:after="0" w:line="269" w:lineRule="auto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数据库持久化、增量同步</w:t>
            </w:r>
          </w:p>
        </w:tc>
      </w:tr>
      <w:tr>
        <w:tc>
          <w:tcPr>
            <w:tcW w:type="dxa" w:w="1701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FFFFFF"/>
          </w:tcPr>
          <w:p>
            <w:pPr>
              <w:spacing w:after="0" w:line="269" w:lineRule="auto"/>
            </w:pPr>
            <w:r/>
            <w:r>
              <w:rPr>
                <w:rFonts w:ascii="微软雅黑" w:hAnsi="微软雅黑" w:eastAsia="微软雅黑"/>
                <w:b/>
                <w:color w:val="1F2937"/>
                <w:sz w:val="17"/>
              </w:rPr>
              <w:t>分析计算层</w:t>
            </w:r>
          </w:p>
        </w:tc>
        <w:tc>
          <w:tcPr>
            <w:tcW w:type="dxa" w:w="2268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FFFFFF"/>
          </w:tcPr>
          <w:p>
            <w:pPr>
              <w:spacing w:after="0" w:line="269" w:lineRule="auto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连通性、最短路径、告警阈值</w:t>
            </w:r>
          </w:p>
        </w:tc>
        <w:tc>
          <w:tcPr>
            <w:tcW w:type="dxa" w:w="2665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FFFFFF"/>
          </w:tcPr>
          <w:p>
            <w:pPr>
              <w:spacing w:after="0" w:line="269" w:lineRule="auto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delay/loss/utilization/SNR 告警推导</w:t>
            </w:r>
          </w:p>
        </w:tc>
        <w:tc>
          <w:tcPr>
            <w:tcW w:type="dxa" w:w="2438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FFFFFF"/>
          </w:tcPr>
          <w:p>
            <w:pPr>
              <w:spacing w:after="0" w:line="269" w:lineRule="auto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根因分析、趋势预测、仿真评估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159"/>
            <w:shd w:fill="19C7E8"/>
            <w:tcBorders>
              <w:top w:val="single" w:sz="6" w:space="0" w:color="19C7E8"/>
              <w:left w:val="single" w:sz="6" w:space="0" w:color="19C7E8"/>
              <w:bottom w:val="single" w:sz="6" w:space="0" w:color="19C7E8"/>
              <w:right w:val="single" w:sz="6" w:space="0" w:color="19C7E8"/>
            </w:tcBorders>
          </w:tcPr>
          <w:p/>
        </w:tc>
        <w:tc>
          <w:tcPr>
            <w:tcW w:type="dxa" w:w="8901"/>
            <w:shd w:fill="EAF8FF"/>
            <w:tcBorders>
              <w:top w:val="single" w:sz="6" w:space="0" w:color="EAF8FF"/>
              <w:left w:val="single" w:sz="6" w:space="0" w:color="EAF8FF"/>
              <w:bottom w:val="single" w:sz="6" w:space="0" w:color="EAF8FF"/>
              <w:right w:val="single" w:sz="6" w:space="0" w:color="EAF8FF"/>
            </w:tcBorders>
          </w:tcPr>
          <w:p>
            <w:r>
              <w:rPr>
                <w:rFonts w:ascii="微软雅黑" w:hAnsi="微软雅黑" w:eastAsia="微软雅黑"/>
                <w:b/>
                <w:color w:val="0B1524"/>
                <w:sz w:val="21"/>
              </w:rPr>
              <w:t>工程可信度</w:t>
            </w:r>
            <w:r>
              <w:br/>
            </w:r>
            <w:r>
              <w:rPr>
                <w:rFonts w:ascii="微软雅黑" w:hAnsi="微软雅黑" w:eastAsia="微软雅黑"/>
                <w:b w:val="0"/>
                <w:color w:val="263445"/>
                <w:sz w:val="19"/>
              </w:rPr>
              <w:t>星火杯版本已通过 npm run build 构建验证；当前演示数据包含 19 个节点、23 条链路，能够展示离线节点、链路劣化、历史帧与实时 KPI。</w:t>
            </w:r>
          </w:p>
        </w:tc>
      </w:tr>
    </w:tbl>
    <w:p>
      <w:pPr>
        <w:spacing w:after="40"/>
      </w:pPr>
    </w:p>
    <w:p>
      <w:pPr>
        <w:pStyle w:val="Heading1"/>
        <w:spacing w:before="240" w:after="120"/>
      </w:pPr>
      <w:r>
        <w:t>6. 核心创新与竞争壁垒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2041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12233A"/>
          </w:tcPr>
          <w:p>
            <w:pPr>
              <w:spacing w:after="0" w:line="269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创新点</w:t>
            </w:r>
          </w:p>
        </w:tc>
        <w:tc>
          <w:tcPr>
            <w:tcW w:type="dxa" w:w="4535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12233A"/>
          </w:tcPr>
          <w:p>
            <w:pPr>
              <w:spacing w:after="0" w:line="269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  <w:tc>
          <w:tcPr>
            <w:tcW w:type="dxa" w:w="2268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12233A"/>
          </w:tcPr>
          <w:p>
            <w:pPr>
              <w:spacing w:after="0" w:line="269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壁垒来源</w:t>
            </w:r>
          </w:p>
        </w:tc>
      </w:tr>
      <w:tr>
        <w:tc>
          <w:tcPr>
            <w:tcW w:type="dxa" w:w="2041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FFFFFF"/>
          </w:tcPr>
          <w:p>
            <w:pPr>
              <w:spacing w:after="0" w:line="269" w:lineRule="auto"/>
            </w:pPr>
            <w:r/>
            <w:r>
              <w:rPr>
                <w:rFonts w:ascii="微软雅黑" w:hAnsi="微软雅黑" w:eastAsia="微软雅黑"/>
                <w:b/>
                <w:color w:val="0B1524"/>
                <w:sz w:val="17"/>
              </w:rPr>
              <w:t>跨层关系一等建模</w:t>
            </w:r>
          </w:p>
        </w:tc>
        <w:tc>
          <w:tcPr>
            <w:tcW w:type="dxa" w:w="4535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FFFFFF"/>
          </w:tcPr>
          <w:p>
            <w:pPr>
              <w:spacing w:after="0" w:line="269" w:lineRule="auto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CrossLayerRelation 不再只是 UI 连线，而是进入数据模型、接口返回和分析逻辑，可支持从终端到中继、接入、骨干的链路追踪。</w:t>
            </w:r>
          </w:p>
        </w:tc>
        <w:tc>
          <w:tcPr>
            <w:tcW w:type="dxa" w:w="2268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FFFFFF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6C784"/>
                <w:sz w:val="17"/>
              </w:rPr>
              <w:t>数据模型 + 工程实现 + 场景经验</w:t>
            </w:r>
          </w:p>
        </w:tc>
      </w:tr>
      <w:tr>
        <w:tc>
          <w:tcPr>
            <w:tcW w:type="dxa" w:w="2041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FFFFFF"/>
          </w:tcPr>
          <w:p>
            <w:pPr>
              <w:spacing w:after="0" w:line="269" w:lineRule="auto"/>
            </w:pPr>
            <w:r/>
            <w:r>
              <w:rPr>
                <w:rFonts w:ascii="微软雅黑" w:hAnsi="微软雅黑" w:eastAsia="微软雅黑"/>
                <w:b/>
                <w:color w:val="0B1524"/>
                <w:sz w:val="17"/>
              </w:rPr>
              <w:t>事件驱动态势快照</w:t>
            </w:r>
          </w:p>
        </w:tc>
        <w:tc>
          <w:tcPr>
            <w:tcW w:type="dxa" w:w="4535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FFFFFF"/>
          </w:tcPr>
          <w:p>
            <w:pPr>
              <w:spacing w:after="0" w:line="269" w:lineRule="auto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拓扑、指标、告警与事件通过时间戳组织，为历史回放、演练复盘和事故审计提供统一依据。</w:t>
            </w:r>
          </w:p>
        </w:tc>
        <w:tc>
          <w:tcPr>
            <w:tcW w:type="dxa" w:w="2268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FFFFFF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6C784"/>
                <w:sz w:val="17"/>
              </w:rPr>
              <w:t>数据模型 + 工程实现 + 场景经验</w:t>
            </w:r>
          </w:p>
        </w:tc>
      </w:tr>
      <w:tr>
        <w:tc>
          <w:tcPr>
            <w:tcW w:type="dxa" w:w="2041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FFFFFF"/>
          </w:tcPr>
          <w:p>
            <w:pPr>
              <w:spacing w:after="0" w:line="269" w:lineRule="auto"/>
            </w:pPr>
            <w:r/>
            <w:r>
              <w:rPr>
                <w:rFonts w:ascii="微软雅黑" w:hAnsi="微软雅黑" w:eastAsia="微软雅黑"/>
                <w:b/>
                <w:color w:val="0B1524"/>
                <w:sz w:val="17"/>
              </w:rPr>
              <w:t>可计算网络态势</w:t>
            </w:r>
          </w:p>
        </w:tc>
        <w:tc>
          <w:tcPr>
            <w:tcW w:type="dxa" w:w="4535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FFFFFF"/>
          </w:tcPr>
          <w:p>
            <w:pPr>
              <w:spacing w:after="0" w:line="269" w:lineRule="auto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连通性分析、时延加权最短路径和告警阈值推导，使系统具备“看见 - 判断 - 分析”的闭环能力。</w:t>
            </w:r>
          </w:p>
        </w:tc>
        <w:tc>
          <w:tcPr>
            <w:tcW w:type="dxa" w:w="2268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FFFFFF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6C784"/>
                <w:sz w:val="17"/>
              </w:rPr>
              <w:t>数据模型 + 工程实现 + 场景经验</w:t>
            </w:r>
          </w:p>
        </w:tc>
      </w:tr>
      <w:tr>
        <w:tc>
          <w:tcPr>
            <w:tcW w:type="dxa" w:w="2041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FFFFFF"/>
          </w:tcPr>
          <w:p>
            <w:pPr>
              <w:spacing w:after="0" w:line="269" w:lineRule="auto"/>
            </w:pPr>
            <w:r/>
            <w:r>
              <w:rPr>
                <w:rFonts w:ascii="微软雅黑" w:hAnsi="微软雅黑" w:eastAsia="微软雅黑"/>
                <w:b/>
                <w:color w:val="0B1524"/>
                <w:sz w:val="17"/>
              </w:rPr>
              <w:t>轻量化场景仿真</w:t>
            </w:r>
          </w:p>
        </w:tc>
        <w:tc>
          <w:tcPr>
            <w:tcW w:type="dxa" w:w="4535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FFFFFF"/>
          </w:tcPr>
          <w:p>
            <w:pPr>
              <w:spacing w:after="0" w:line="269" w:lineRule="auto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Python 数据生成器与命令队列支持节点新增、移除、状态更新等场景，便于校赛答辩和客户试点演示。</w:t>
            </w:r>
          </w:p>
        </w:tc>
        <w:tc>
          <w:tcPr>
            <w:tcW w:type="dxa" w:w="2268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FFFFFF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6C784"/>
                <w:sz w:val="17"/>
              </w:rPr>
              <w:t>数据模型 + 工程实现 + 场景经验</w:t>
            </w:r>
          </w:p>
        </w:tc>
      </w:tr>
    </w:tbl>
    <w:p>
      <w:pPr>
        <w:spacing w:before="0" w:after="120" w:line="293" w:lineRule="auto"/>
      </w:pPr>
      <w:r>
        <w:rPr>
          <w:rFonts w:ascii="微软雅黑" w:hAnsi="微软雅黑" w:eastAsia="微软雅黑"/>
          <w:b w:val="0"/>
          <w:color w:val="5C6F82"/>
          <w:sz w:val="19"/>
        </w:rPr>
        <w:t>知识产权建议：赛前可将“多层异构网络态势感知系统”“历史回放与跨层关系分析方法”“网络拓扑动态演示平台”等方向整理为软著材料，并保留代码提交记录、演示视频、设计文档作为成果证明。</w:t>
      </w:r>
    </w:p>
    <w:p>
      <w:pPr>
        <w:pStyle w:val="Heading1"/>
        <w:spacing w:before="240" w:after="120"/>
      </w:pPr>
      <w:r>
        <w:t>7. 目标客户、商业模式与定价</w:t>
      </w:r>
    </w:p>
    <w:p>
      <w:pPr>
        <w:spacing w:before="0" w:after="120" w:line="293" w:lineRule="auto"/>
      </w:pPr>
      <w:r>
        <w:rPr>
          <w:rFonts w:ascii="微软雅黑" w:hAnsi="微软雅黑" w:eastAsia="微软雅黑"/>
          <w:b w:val="0"/>
          <w:color w:val="1F2937"/>
          <w:sz w:val="21"/>
        </w:rPr>
        <w:t>项目商业化不宜一开始定位为重型商业网管，而应从“轻量可部署的态势演示/运维分析平台”切入。以高校、实验室、园区和应急演练项目获取种子案例，再逐步沉淀行业模板和可复用模块。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</w:trPr>
        <w:tc>
          <w:tcPr>
            <w:tcW w:type="dxa" w:w="1701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12233A"/>
          </w:tcPr>
          <w:p>
            <w:pPr>
              <w:spacing w:after="0" w:line="269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收入线</w:t>
            </w:r>
          </w:p>
        </w:tc>
        <w:tc>
          <w:tcPr>
            <w:tcW w:type="dxa" w:w="2494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12233A"/>
          </w:tcPr>
          <w:p>
            <w:pPr>
              <w:spacing w:after="0" w:line="269" w:lineRule="auto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收费方式</w:t>
            </w:r>
          </w:p>
        </w:tc>
        <w:tc>
          <w:tcPr>
            <w:tcW w:type="dxa" w:w="2494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12233A"/>
          </w:tcPr>
          <w:p>
            <w:pPr>
              <w:spacing w:after="0" w:line="269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典型报价建议</w:t>
            </w:r>
          </w:p>
        </w:tc>
        <w:tc>
          <w:tcPr>
            <w:tcW w:type="dxa" w:w="2381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12233A"/>
          </w:tcPr>
          <w:p>
            <w:pPr>
              <w:spacing w:after="0" w:line="269" w:lineRule="auto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交付内容</w:t>
            </w:r>
          </w:p>
        </w:tc>
      </w:tr>
      <w:tr>
        <w:tc>
          <w:tcPr>
            <w:tcW w:type="dxa" w:w="1701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FFFFFF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2937"/>
                <w:sz w:val="17"/>
              </w:rPr>
              <w:t>PoC 试点</w:t>
            </w:r>
          </w:p>
        </w:tc>
        <w:tc>
          <w:tcPr>
            <w:tcW w:type="dxa" w:w="2494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FFFFFF"/>
          </w:tcPr>
          <w:p>
            <w:pPr>
              <w:spacing w:after="0" w:line="269" w:lineRule="auto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项目制</w:t>
            </w:r>
          </w:p>
        </w:tc>
        <w:tc>
          <w:tcPr>
            <w:tcW w:type="dxa" w:w="2494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FFFFFF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3-8 万元/项目</w:t>
            </w:r>
          </w:p>
        </w:tc>
        <w:tc>
          <w:tcPr>
            <w:tcW w:type="dxa" w:w="2381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FFFFFF"/>
          </w:tcPr>
          <w:p>
            <w:pPr>
              <w:spacing w:after="0" w:line="269" w:lineRule="auto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场景搭建、演示大屏、基础培训</w:t>
            </w:r>
          </w:p>
        </w:tc>
      </w:tr>
      <w:tr>
        <w:tc>
          <w:tcPr>
            <w:tcW w:type="dxa" w:w="1701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FFFFFF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2937"/>
                <w:sz w:val="17"/>
              </w:rPr>
              <w:t>私有化部署</w:t>
            </w:r>
          </w:p>
        </w:tc>
        <w:tc>
          <w:tcPr>
            <w:tcW w:type="dxa" w:w="2494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FFFFFF"/>
          </w:tcPr>
          <w:p>
            <w:pPr>
              <w:spacing w:after="0" w:line="269" w:lineRule="auto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软件 + 实施</w:t>
            </w:r>
          </w:p>
        </w:tc>
        <w:tc>
          <w:tcPr>
            <w:tcW w:type="dxa" w:w="2494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FFFFFF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10-30 万元/套</w:t>
            </w:r>
          </w:p>
        </w:tc>
        <w:tc>
          <w:tcPr>
            <w:tcW w:type="dxa" w:w="2381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FFFFFF"/>
          </w:tcPr>
          <w:p>
            <w:pPr>
              <w:spacing w:after="0" w:line="269" w:lineRule="auto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系统部署、数据适配、接口联调</w:t>
            </w:r>
          </w:p>
        </w:tc>
      </w:tr>
      <w:tr>
        <w:tc>
          <w:tcPr>
            <w:tcW w:type="dxa" w:w="1701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FFFFFF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2937"/>
                <w:sz w:val="17"/>
              </w:rPr>
              <w:t>年度服务</w:t>
            </w:r>
          </w:p>
        </w:tc>
        <w:tc>
          <w:tcPr>
            <w:tcW w:type="dxa" w:w="2494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FFFFFF"/>
          </w:tcPr>
          <w:p>
            <w:pPr>
              <w:spacing w:after="0" w:line="269" w:lineRule="auto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订阅/维保</w:t>
            </w:r>
          </w:p>
        </w:tc>
        <w:tc>
          <w:tcPr>
            <w:tcW w:type="dxa" w:w="2494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FFFFFF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合同额 15%-25%/年</w:t>
            </w:r>
          </w:p>
        </w:tc>
        <w:tc>
          <w:tcPr>
            <w:tcW w:type="dxa" w:w="2381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FFFFFF"/>
          </w:tcPr>
          <w:p>
            <w:pPr>
              <w:spacing w:after="0" w:line="269" w:lineRule="auto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运维支持、版本更新、演练脚本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159"/>
            <w:shd w:fill="16C784"/>
            <w:tcBorders>
              <w:top w:val="single" w:sz="6" w:space="0" w:color="16C784"/>
              <w:left w:val="single" w:sz="6" w:space="0" w:color="16C784"/>
              <w:bottom w:val="single" w:sz="6" w:space="0" w:color="16C784"/>
              <w:right w:val="single" w:sz="6" w:space="0" w:color="16C784"/>
            </w:tcBorders>
          </w:tcPr>
          <w:p/>
        </w:tc>
        <w:tc>
          <w:tcPr>
            <w:tcW w:type="dxa" w:w="8901"/>
            <w:shd w:fill="F2FFF8"/>
            <w:tcBorders>
              <w:top w:val="single" w:sz="6" w:space="0" w:color="F2FFF8"/>
              <w:left w:val="single" w:sz="6" w:space="0" w:color="F2FFF8"/>
              <w:bottom w:val="single" w:sz="6" w:space="0" w:color="F2FFF8"/>
              <w:right w:val="single" w:sz="6" w:space="0" w:color="F2FFF8"/>
            </w:tcBorders>
          </w:tcPr>
          <w:p>
            <w:r>
              <w:rPr>
                <w:rFonts w:ascii="微软雅黑" w:hAnsi="微软雅黑" w:eastAsia="微软雅黑"/>
                <w:b/>
                <w:color w:val="0B1524"/>
                <w:sz w:val="21"/>
              </w:rPr>
              <w:t>商业模式画布</w:t>
            </w:r>
            <w:r>
              <w:br/>
            </w:r>
            <w:r>
              <w:rPr>
                <w:rFonts w:ascii="微软雅黑" w:hAnsi="微软雅黑" w:eastAsia="微软雅黑"/>
                <w:b w:val="0"/>
                <w:color w:val="263445"/>
                <w:sz w:val="19"/>
              </w:rPr>
              <w:t>关键伙伴：高校实验室、系统集成商、应急演练单位；关键活动：数据适配、场景封装、可视分析算法；价值主张：复杂网络看得见、找得快、可复盘；客户关系：试点共创 + 年度服务；渠道：校企合作、创新创业赛事、实验室示范、集成商项目。</w:t>
            </w:r>
          </w:p>
        </w:tc>
      </w:tr>
    </w:tbl>
    <w:p>
      <w:pPr>
        <w:spacing w:after="40"/>
      </w:pPr>
    </w:p>
    <w:p>
      <w:pPr>
        <w:pStyle w:val="Heading1"/>
        <w:spacing w:before="240" w:after="120"/>
      </w:pPr>
      <w:r>
        <w:t>8. 市场推广与运营计划</w:t>
      </w:r>
    </w:p>
    <w:p>
      <w:pPr>
        <w:spacing w:before="0" w:after="120" w:line="293" w:lineRule="auto"/>
      </w:pPr>
      <w:r>
        <w:rPr>
          <w:rFonts w:ascii="微软雅黑" w:hAnsi="微软雅黑" w:eastAsia="微软雅黑"/>
          <w:b w:val="0"/>
          <w:color w:val="1F2937"/>
          <w:sz w:val="21"/>
        </w:rPr>
        <w:t>推广策略采用“比赛曝光 - 校园试点 - 行业演练 - 集成合作”的路径。比赛阶段强调原型演示和商业计划完整性；试点阶段重点获取真实反馈；商业阶段以场景包和接口适配降低交付成本。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</w:trPr>
        <w:tc>
          <w:tcPr>
            <w:tcW w:type="dxa" w:w="1417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12233A"/>
          </w:tcPr>
          <w:p>
            <w:pPr>
              <w:spacing w:after="0" w:line="269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阶段</w:t>
            </w:r>
          </w:p>
        </w:tc>
        <w:tc>
          <w:tcPr>
            <w:tcW w:type="dxa" w:w="1757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12233A"/>
          </w:tcPr>
          <w:p>
            <w:pPr>
              <w:spacing w:after="0" w:line="269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时间</w:t>
            </w:r>
          </w:p>
        </w:tc>
        <w:tc>
          <w:tcPr>
            <w:tcW w:type="dxa" w:w="3061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12233A"/>
          </w:tcPr>
          <w:p>
            <w:pPr>
              <w:spacing w:after="0" w:line="269" w:lineRule="auto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重点目标</w:t>
            </w:r>
          </w:p>
        </w:tc>
        <w:tc>
          <w:tcPr>
            <w:tcW w:type="dxa" w:w="2835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12233A"/>
          </w:tcPr>
          <w:p>
            <w:pPr>
              <w:spacing w:after="0" w:line="269" w:lineRule="auto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关键成果</w:t>
            </w:r>
          </w:p>
        </w:tc>
      </w:tr>
      <w:tr>
        <w:tc>
          <w:tcPr>
            <w:tcW w:type="dxa" w:w="1417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FFFFFF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2937"/>
                <w:sz w:val="17"/>
              </w:rPr>
              <w:t>赛事版</w:t>
            </w:r>
          </w:p>
        </w:tc>
        <w:tc>
          <w:tcPr>
            <w:tcW w:type="dxa" w:w="1757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FFFFFF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2026 Q2-Q3</w:t>
            </w:r>
          </w:p>
        </w:tc>
        <w:tc>
          <w:tcPr>
            <w:tcW w:type="dxa" w:w="3061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FFFFFF"/>
          </w:tcPr>
          <w:p>
            <w:pPr>
              <w:spacing w:after="0" w:line="269" w:lineRule="auto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完善计划书、路演稿、演示视频和答辩材料</w:t>
            </w:r>
          </w:p>
        </w:tc>
        <w:tc>
          <w:tcPr>
            <w:tcW w:type="dxa" w:w="2835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FFFFFF"/>
          </w:tcPr>
          <w:p>
            <w:pPr>
              <w:spacing w:after="0" w:line="269" w:lineRule="auto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进入校赛/省赛、形成原型证明</w:t>
            </w:r>
          </w:p>
        </w:tc>
      </w:tr>
      <w:tr>
        <w:tc>
          <w:tcPr>
            <w:tcW w:type="dxa" w:w="1417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FFFFFF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2937"/>
                <w:sz w:val="17"/>
              </w:rPr>
              <w:t>试点版</w:t>
            </w:r>
          </w:p>
        </w:tc>
        <w:tc>
          <w:tcPr>
            <w:tcW w:type="dxa" w:w="1757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FFFFFF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2026 Q4-2027 Q2</w:t>
            </w:r>
          </w:p>
        </w:tc>
        <w:tc>
          <w:tcPr>
            <w:tcW w:type="dxa" w:w="3061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FFFFFF"/>
          </w:tcPr>
          <w:p>
            <w:pPr>
              <w:spacing w:after="0" w:line="269" w:lineRule="auto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完成 1-3 个校园或实验室场景试点</w:t>
            </w:r>
          </w:p>
        </w:tc>
        <w:tc>
          <w:tcPr>
            <w:tcW w:type="dxa" w:w="2835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FFFFFF"/>
          </w:tcPr>
          <w:p>
            <w:pPr>
              <w:spacing w:after="0" w:line="269" w:lineRule="auto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试用证明、数据样例、软著</w:t>
            </w:r>
          </w:p>
        </w:tc>
      </w:tr>
      <w:tr>
        <w:tc>
          <w:tcPr>
            <w:tcW w:type="dxa" w:w="1417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FFFFFF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2937"/>
                <w:sz w:val="17"/>
              </w:rPr>
              <w:t>行业版</w:t>
            </w:r>
          </w:p>
        </w:tc>
        <w:tc>
          <w:tcPr>
            <w:tcW w:type="dxa" w:w="1757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FFFFFF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2027 Q3-2028</w:t>
            </w:r>
          </w:p>
        </w:tc>
        <w:tc>
          <w:tcPr>
            <w:tcW w:type="dxa" w:w="3061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FFFFFF"/>
          </w:tcPr>
          <w:p>
            <w:pPr>
              <w:spacing w:after="0" w:line="269" w:lineRule="auto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面向应急通信/园区专网复制演练方案</w:t>
            </w:r>
          </w:p>
        </w:tc>
        <w:tc>
          <w:tcPr>
            <w:tcW w:type="dxa" w:w="2835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FFFFFF"/>
          </w:tcPr>
          <w:p>
            <w:pPr>
              <w:spacing w:after="0" w:line="269" w:lineRule="auto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行业场景包、标准报价、合作伙伴</w:t>
            </w:r>
          </w:p>
        </w:tc>
      </w:tr>
    </w:tbl>
    <w:p>
      <w:pPr>
        <w:pStyle w:val="Heading2"/>
        <w:spacing w:before="160" w:after="120"/>
      </w:pPr>
      <w:r>
        <w:t>8.1 竞品与差异化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</w:trPr>
        <w:tc>
          <w:tcPr>
            <w:tcW w:type="dxa" w:w="1587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12233A"/>
          </w:tcPr>
          <w:p>
            <w:pPr>
              <w:spacing w:after="0" w:line="269" w:lineRule="auto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对比对象</w:t>
            </w:r>
          </w:p>
        </w:tc>
        <w:tc>
          <w:tcPr>
            <w:tcW w:type="dxa" w:w="2268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12233A"/>
          </w:tcPr>
          <w:p>
            <w:pPr>
              <w:spacing w:after="0" w:line="269" w:lineRule="auto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优势</w:t>
            </w:r>
          </w:p>
        </w:tc>
        <w:tc>
          <w:tcPr>
            <w:tcW w:type="dxa" w:w="2268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12233A"/>
          </w:tcPr>
          <w:p>
            <w:pPr>
              <w:spacing w:after="0" w:line="269" w:lineRule="auto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不足</w:t>
            </w:r>
          </w:p>
        </w:tc>
        <w:tc>
          <w:tcPr>
            <w:tcW w:type="dxa" w:w="2948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12233A"/>
          </w:tcPr>
          <w:p>
            <w:pPr>
              <w:spacing w:after="0" w:line="269" w:lineRule="auto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物联慧眼切入点</w:t>
            </w:r>
          </w:p>
        </w:tc>
      </w:tr>
      <w:tr>
        <w:tc>
          <w:tcPr>
            <w:tcW w:type="dxa" w:w="1587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FFFFFF"/>
          </w:tcPr>
          <w:p>
            <w:pPr>
              <w:spacing w:after="0" w:line="269" w:lineRule="auto"/>
            </w:pPr>
            <w:r/>
            <w:r>
              <w:rPr>
                <w:rFonts w:ascii="微软雅黑" w:hAnsi="微软雅黑" w:eastAsia="微软雅黑"/>
                <w:b/>
                <w:color w:val="1F2937"/>
                <w:sz w:val="16"/>
              </w:rPr>
              <w:t>传统网管系统</w:t>
            </w:r>
          </w:p>
        </w:tc>
        <w:tc>
          <w:tcPr>
            <w:tcW w:type="dxa" w:w="2268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FFFFFF"/>
          </w:tcPr>
          <w:p>
            <w:pPr>
              <w:spacing w:after="0" w:line="269" w:lineRule="auto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监控能力强、成熟稳定</w:t>
            </w:r>
          </w:p>
        </w:tc>
        <w:tc>
          <w:tcPr>
            <w:tcW w:type="dxa" w:w="2268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FFFFFF"/>
          </w:tcPr>
          <w:p>
            <w:pPr>
              <w:spacing w:after="0" w:line="269" w:lineRule="auto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成本高、重部署、定制慢</w:t>
            </w:r>
          </w:p>
        </w:tc>
        <w:tc>
          <w:tcPr>
            <w:tcW w:type="dxa" w:w="2948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FFFFFF"/>
          </w:tcPr>
          <w:p>
            <w:pPr>
              <w:spacing w:after="0" w:line="269" w:lineRule="auto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轻量原型、跨层回放、演练导向</w:t>
            </w:r>
          </w:p>
        </w:tc>
      </w:tr>
      <w:tr>
        <w:tc>
          <w:tcPr>
            <w:tcW w:type="dxa" w:w="1587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FFFFFF"/>
          </w:tcPr>
          <w:p>
            <w:pPr>
              <w:spacing w:after="0" w:line="269" w:lineRule="auto"/>
            </w:pPr>
            <w:r/>
            <w:r>
              <w:rPr>
                <w:rFonts w:ascii="微软雅黑" w:hAnsi="微软雅黑" w:eastAsia="微软雅黑"/>
                <w:b/>
                <w:color w:val="1F2937"/>
                <w:sz w:val="16"/>
              </w:rPr>
              <w:t>GIS/地图平台</w:t>
            </w:r>
          </w:p>
        </w:tc>
        <w:tc>
          <w:tcPr>
            <w:tcW w:type="dxa" w:w="2268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FFFFFF"/>
          </w:tcPr>
          <w:p>
            <w:pPr>
              <w:spacing w:after="0" w:line="269" w:lineRule="auto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空间展示能力强</w:t>
            </w:r>
          </w:p>
        </w:tc>
        <w:tc>
          <w:tcPr>
            <w:tcW w:type="dxa" w:w="2268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FFFFFF"/>
          </w:tcPr>
          <w:p>
            <w:pPr>
              <w:spacing w:after="0" w:line="269" w:lineRule="auto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网络模型和事件逻辑弱</w:t>
            </w:r>
          </w:p>
        </w:tc>
        <w:tc>
          <w:tcPr>
            <w:tcW w:type="dxa" w:w="2948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FFFFFF"/>
          </w:tcPr>
          <w:p>
            <w:pPr>
              <w:spacing w:after="0" w:line="269" w:lineRule="auto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把地理展示与网络拓扑分析结合</w:t>
            </w:r>
          </w:p>
        </w:tc>
      </w:tr>
      <w:tr>
        <w:tc>
          <w:tcPr>
            <w:tcW w:type="dxa" w:w="1587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FFFFFF"/>
          </w:tcPr>
          <w:p>
            <w:pPr>
              <w:spacing w:after="0" w:line="269" w:lineRule="auto"/>
            </w:pPr>
            <w:r/>
            <w:r>
              <w:rPr>
                <w:rFonts w:ascii="微软雅黑" w:hAnsi="微软雅黑" w:eastAsia="微软雅黑"/>
                <w:b/>
                <w:color w:val="1F2937"/>
                <w:sz w:val="16"/>
              </w:rPr>
              <w:t>IoT 平台</w:t>
            </w:r>
          </w:p>
        </w:tc>
        <w:tc>
          <w:tcPr>
            <w:tcW w:type="dxa" w:w="2268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FFFFFF"/>
          </w:tcPr>
          <w:p>
            <w:pPr>
              <w:spacing w:after="0" w:line="269" w:lineRule="auto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设备接入和数据采集成熟</w:t>
            </w:r>
          </w:p>
        </w:tc>
        <w:tc>
          <w:tcPr>
            <w:tcW w:type="dxa" w:w="2268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FFFFFF"/>
          </w:tcPr>
          <w:p>
            <w:pPr>
              <w:spacing w:after="0" w:line="269" w:lineRule="auto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网络链路和跨层关系表达不足</w:t>
            </w:r>
          </w:p>
        </w:tc>
        <w:tc>
          <w:tcPr>
            <w:tcW w:type="dxa" w:w="2948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FFFFFF"/>
          </w:tcPr>
          <w:p>
            <w:pPr>
              <w:spacing w:after="0" w:line="269" w:lineRule="auto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补齐通信态势与运维复盘能力</w:t>
            </w:r>
          </w:p>
        </w:tc>
      </w:tr>
      <w:tr>
        <w:tc>
          <w:tcPr>
            <w:tcW w:type="dxa" w:w="1587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FFFFFF"/>
          </w:tcPr>
          <w:p>
            <w:pPr>
              <w:spacing w:after="0" w:line="269" w:lineRule="auto"/>
            </w:pPr>
            <w:r/>
            <w:r>
              <w:rPr>
                <w:rFonts w:ascii="微软雅黑" w:hAnsi="微软雅黑" w:eastAsia="微软雅黑"/>
                <w:b/>
                <w:color w:val="1F2937"/>
                <w:sz w:val="16"/>
              </w:rPr>
              <w:t>开源可视化组件</w:t>
            </w:r>
          </w:p>
        </w:tc>
        <w:tc>
          <w:tcPr>
            <w:tcW w:type="dxa" w:w="2268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FFFFFF"/>
          </w:tcPr>
          <w:p>
            <w:pPr>
              <w:spacing w:after="0" w:line="269" w:lineRule="auto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灵活、成本低</w:t>
            </w:r>
          </w:p>
        </w:tc>
        <w:tc>
          <w:tcPr>
            <w:tcW w:type="dxa" w:w="2268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FFFFFF"/>
          </w:tcPr>
          <w:p>
            <w:pPr>
              <w:spacing w:after="0" w:line="269" w:lineRule="auto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缺少完整业务闭环</w:t>
            </w:r>
          </w:p>
        </w:tc>
        <w:tc>
          <w:tcPr>
            <w:tcW w:type="dxa" w:w="2948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FFFFFF"/>
          </w:tcPr>
          <w:p>
            <w:pPr>
              <w:spacing w:after="0" w:line="269" w:lineRule="auto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形成模型、接口、分析、回放完整方案</w:t>
            </w:r>
          </w:p>
        </w:tc>
      </w:tr>
    </w:tbl>
    <w:p>
      <w:pPr>
        <w:pStyle w:val="Heading1"/>
        <w:spacing w:before="240" w:after="120"/>
      </w:pPr>
      <w:r>
        <w:t>9. 财务测算与融资规划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264085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nce_char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640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93" w:lineRule="auto"/>
        <w:jc w:val="center"/>
      </w:pPr>
      <w:r>
        <w:rPr>
          <w:rFonts w:ascii="微软雅黑" w:hAnsi="微软雅黑" w:eastAsia="微软雅黑"/>
          <w:b w:val="0"/>
          <w:color w:val="5C6F82"/>
          <w:sz w:val="17"/>
        </w:rPr>
        <w:t>图 2 三年收入测算示意（单位：万元，赛前需结合真实报价和试点资源校准）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rPr>
          <w:tblHeader w:val="true"/>
        </w:trPr>
        <w:tc>
          <w:tcPr>
            <w:tcW w:type="dxa" w:w="1757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12233A"/>
          </w:tcPr>
          <w:p>
            <w:pPr>
              <w:spacing w:after="0" w:line="269" w:lineRule="auto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项目</w:t>
            </w:r>
          </w:p>
        </w:tc>
        <w:tc>
          <w:tcPr>
            <w:tcW w:type="dxa" w:w="1134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12233A"/>
          </w:tcPr>
          <w:p>
            <w:pPr>
              <w:spacing w:after="0" w:line="269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2026</w:t>
            </w:r>
          </w:p>
        </w:tc>
        <w:tc>
          <w:tcPr>
            <w:tcW w:type="dxa" w:w="1134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12233A"/>
          </w:tcPr>
          <w:p>
            <w:pPr>
              <w:spacing w:after="0" w:line="269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2027</w:t>
            </w:r>
          </w:p>
        </w:tc>
        <w:tc>
          <w:tcPr>
            <w:tcW w:type="dxa" w:w="1134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12233A"/>
          </w:tcPr>
          <w:p>
            <w:pPr>
              <w:spacing w:after="0" w:line="269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2028</w:t>
            </w:r>
          </w:p>
        </w:tc>
        <w:tc>
          <w:tcPr>
            <w:tcW w:type="dxa" w:w="3855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12233A"/>
          </w:tcPr>
          <w:p>
            <w:pPr>
              <w:spacing w:after="0" w:line="269" w:lineRule="auto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测算依据</w:t>
            </w:r>
          </w:p>
        </w:tc>
      </w:tr>
      <w:tr>
        <w:tc>
          <w:tcPr>
            <w:tcW w:type="dxa" w:w="1757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FFFFFF"/>
          </w:tcPr>
          <w:p>
            <w:pPr>
              <w:spacing w:after="0" w:line="269" w:lineRule="auto"/>
            </w:pPr>
            <w:r/>
            <w:r>
              <w:rPr>
                <w:rFonts w:ascii="微软雅黑" w:hAnsi="微软雅黑" w:eastAsia="微软雅黑"/>
                <w:b/>
                <w:color w:val="1F2937"/>
                <w:sz w:val="16"/>
              </w:rPr>
              <w:t>项目制收入</w:t>
            </w:r>
          </w:p>
        </w:tc>
        <w:tc>
          <w:tcPr>
            <w:tcW w:type="dxa" w:w="1134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FFFFFF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18</w:t>
            </w:r>
          </w:p>
        </w:tc>
        <w:tc>
          <w:tcPr>
            <w:tcW w:type="dxa" w:w="1134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FFFFFF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56</w:t>
            </w:r>
          </w:p>
        </w:tc>
        <w:tc>
          <w:tcPr>
            <w:tcW w:type="dxa" w:w="1134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FFFFFF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96</w:t>
            </w:r>
          </w:p>
        </w:tc>
        <w:tc>
          <w:tcPr>
            <w:tcW w:type="dxa" w:w="3855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FFFFFF"/>
          </w:tcPr>
          <w:p>
            <w:pPr>
              <w:spacing w:after="0" w:line="269" w:lineRule="auto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PoC 试点与私有化部署逐步增加</w:t>
            </w:r>
          </w:p>
        </w:tc>
      </w:tr>
      <w:tr>
        <w:tc>
          <w:tcPr>
            <w:tcW w:type="dxa" w:w="1757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FFFFFF"/>
          </w:tcPr>
          <w:p>
            <w:pPr>
              <w:spacing w:after="0" w:line="269" w:lineRule="auto"/>
            </w:pPr>
            <w:r/>
            <w:r>
              <w:rPr>
                <w:rFonts w:ascii="微软雅黑" w:hAnsi="微软雅黑" w:eastAsia="微软雅黑"/>
                <w:b/>
                <w:color w:val="1F2937"/>
                <w:sz w:val="16"/>
              </w:rPr>
              <w:t>授权与服务收入</w:t>
            </w:r>
          </w:p>
        </w:tc>
        <w:tc>
          <w:tcPr>
            <w:tcW w:type="dxa" w:w="1134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FFFFFF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6</w:t>
            </w:r>
          </w:p>
        </w:tc>
        <w:tc>
          <w:tcPr>
            <w:tcW w:type="dxa" w:w="1134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FFFFFF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42</w:t>
            </w:r>
          </w:p>
        </w:tc>
        <w:tc>
          <w:tcPr>
            <w:tcW w:type="dxa" w:w="1134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FFFFFF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128</w:t>
            </w:r>
          </w:p>
        </w:tc>
        <w:tc>
          <w:tcPr>
            <w:tcW w:type="dxa" w:w="3855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FFFFFF"/>
          </w:tcPr>
          <w:p>
            <w:pPr>
              <w:spacing w:after="0" w:line="269" w:lineRule="auto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模块授权、年度服务、场景包复制</w:t>
            </w:r>
          </w:p>
        </w:tc>
      </w:tr>
      <w:tr>
        <w:tc>
          <w:tcPr>
            <w:tcW w:type="dxa" w:w="1757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FFFFFF"/>
          </w:tcPr>
          <w:p>
            <w:pPr>
              <w:spacing w:after="0" w:line="269" w:lineRule="auto"/>
            </w:pPr>
            <w:r/>
            <w:r>
              <w:rPr>
                <w:rFonts w:ascii="微软雅黑" w:hAnsi="微软雅黑" w:eastAsia="微软雅黑"/>
                <w:b/>
                <w:color w:val="1F2937"/>
                <w:sz w:val="16"/>
              </w:rPr>
              <w:t>营业收入合计</w:t>
            </w:r>
          </w:p>
        </w:tc>
        <w:tc>
          <w:tcPr>
            <w:tcW w:type="dxa" w:w="1134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FFFFFF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2937"/>
                <w:sz w:val="16"/>
              </w:rPr>
              <w:t>24</w:t>
            </w:r>
          </w:p>
        </w:tc>
        <w:tc>
          <w:tcPr>
            <w:tcW w:type="dxa" w:w="1134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FFFFFF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2937"/>
                <w:sz w:val="16"/>
              </w:rPr>
              <w:t>98</w:t>
            </w:r>
          </w:p>
        </w:tc>
        <w:tc>
          <w:tcPr>
            <w:tcW w:type="dxa" w:w="1134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FFFFFF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2937"/>
                <w:sz w:val="16"/>
              </w:rPr>
              <w:t>224</w:t>
            </w:r>
          </w:p>
        </w:tc>
        <w:tc>
          <w:tcPr>
            <w:tcW w:type="dxa" w:w="3855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FFFFFF"/>
          </w:tcPr>
          <w:p>
            <w:pPr>
              <w:spacing w:after="0" w:line="269" w:lineRule="auto"/>
            </w:pPr>
            <w:r/>
            <w:r>
              <w:rPr>
                <w:rFonts w:ascii="微软雅黑" w:hAnsi="微软雅黑" w:eastAsia="微软雅黑"/>
                <w:b/>
                <w:color w:val="1F2937"/>
                <w:sz w:val="16"/>
              </w:rPr>
              <w:t>以轻资产软件服务为主</w:t>
            </w:r>
          </w:p>
        </w:tc>
      </w:tr>
      <w:tr>
        <w:tc>
          <w:tcPr>
            <w:tcW w:type="dxa" w:w="1757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FFFFFF"/>
          </w:tcPr>
          <w:p>
            <w:pPr>
              <w:spacing w:after="0" w:line="269" w:lineRule="auto"/>
            </w:pPr>
            <w:r/>
            <w:r>
              <w:rPr>
                <w:rFonts w:ascii="微软雅黑" w:hAnsi="微软雅黑" w:eastAsia="微软雅黑"/>
                <w:b/>
                <w:color w:val="1F2937"/>
                <w:sz w:val="16"/>
              </w:rPr>
              <w:t>研发与交付成本</w:t>
            </w:r>
          </w:p>
        </w:tc>
        <w:tc>
          <w:tcPr>
            <w:tcW w:type="dxa" w:w="1134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FFFFFF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18</w:t>
            </w:r>
          </w:p>
        </w:tc>
        <w:tc>
          <w:tcPr>
            <w:tcW w:type="dxa" w:w="1134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FFFFFF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45</w:t>
            </w:r>
          </w:p>
        </w:tc>
        <w:tc>
          <w:tcPr>
            <w:tcW w:type="dxa" w:w="1134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FFFFFF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70</w:t>
            </w:r>
          </w:p>
        </w:tc>
        <w:tc>
          <w:tcPr>
            <w:tcW w:type="dxa" w:w="3855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FFFFFF"/>
          </w:tcPr>
          <w:p>
            <w:pPr>
              <w:spacing w:after="0" w:line="269" w:lineRule="auto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人员、测试、部署、适配</w:t>
            </w:r>
          </w:p>
        </w:tc>
      </w:tr>
      <w:tr>
        <w:tc>
          <w:tcPr>
            <w:tcW w:type="dxa" w:w="1757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FFFFFF"/>
          </w:tcPr>
          <w:p>
            <w:pPr>
              <w:spacing w:after="0" w:line="269" w:lineRule="auto"/>
            </w:pPr>
            <w:r/>
            <w:r>
              <w:rPr>
                <w:rFonts w:ascii="微软雅黑" w:hAnsi="微软雅黑" w:eastAsia="微软雅黑"/>
                <w:b/>
                <w:color w:val="1F2937"/>
                <w:sz w:val="16"/>
              </w:rPr>
              <w:t>销售与运营成本</w:t>
            </w:r>
          </w:p>
        </w:tc>
        <w:tc>
          <w:tcPr>
            <w:tcW w:type="dxa" w:w="1134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FFFFFF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4</w:t>
            </w:r>
          </w:p>
        </w:tc>
        <w:tc>
          <w:tcPr>
            <w:tcW w:type="dxa" w:w="1134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FFFFFF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18</w:t>
            </w:r>
          </w:p>
        </w:tc>
        <w:tc>
          <w:tcPr>
            <w:tcW w:type="dxa" w:w="1134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FFFFFF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40</w:t>
            </w:r>
          </w:p>
        </w:tc>
        <w:tc>
          <w:tcPr>
            <w:tcW w:type="dxa" w:w="3855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FFFFFF"/>
          </w:tcPr>
          <w:p>
            <w:pPr>
              <w:spacing w:after="0" w:line="269" w:lineRule="auto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宣传、差旅、试点支持</w:t>
            </w:r>
          </w:p>
        </w:tc>
      </w:tr>
      <w:tr>
        <w:tc>
          <w:tcPr>
            <w:tcW w:type="dxa" w:w="1757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FFFFFF"/>
          </w:tcPr>
          <w:p>
            <w:pPr>
              <w:spacing w:after="0" w:line="269" w:lineRule="auto"/>
            </w:pPr>
            <w:r/>
            <w:r>
              <w:rPr>
                <w:rFonts w:ascii="微软雅黑" w:hAnsi="微软雅黑" w:eastAsia="微软雅黑"/>
                <w:b/>
                <w:color w:val="1F2937"/>
                <w:sz w:val="16"/>
              </w:rPr>
              <w:t>云资源与软硬件</w:t>
            </w:r>
          </w:p>
        </w:tc>
        <w:tc>
          <w:tcPr>
            <w:tcW w:type="dxa" w:w="1134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FFFFFF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3</w:t>
            </w:r>
          </w:p>
        </w:tc>
        <w:tc>
          <w:tcPr>
            <w:tcW w:type="dxa" w:w="1134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FFFFFF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12</w:t>
            </w:r>
          </w:p>
        </w:tc>
        <w:tc>
          <w:tcPr>
            <w:tcW w:type="dxa" w:w="1134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FFFFFF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24</w:t>
            </w:r>
          </w:p>
        </w:tc>
        <w:tc>
          <w:tcPr>
            <w:tcW w:type="dxa" w:w="3855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FFFFFF"/>
          </w:tcPr>
          <w:p>
            <w:pPr>
              <w:spacing w:after="0" w:line="269" w:lineRule="auto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服务器、演示设备、测试环境</w:t>
            </w:r>
          </w:p>
        </w:tc>
      </w:tr>
      <w:tr>
        <w:tc>
          <w:tcPr>
            <w:tcW w:type="dxa" w:w="1757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FFFFFF"/>
          </w:tcPr>
          <w:p>
            <w:pPr>
              <w:spacing w:after="0" w:line="269" w:lineRule="auto"/>
            </w:pPr>
            <w:r/>
            <w:r>
              <w:rPr>
                <w:rFonts w:ascii="微软雅黑" w:hAnsi="微软雅黑" w:eastAsia="微软雅黑"/>
                <w:b/>
                <w:color w:val="1F2937"/>
                <w:sz w:val="16"/>
              </w:rPr>
              <w:t>预计净利润</w:t>
            </w:r>
          </w:p>
        </w:tc>
        <w:tc>
          <w:tcPr>
            <w:tcW w:type="dxa" w:w="1134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FFFFFF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-1</w:t>
            </w:r>
          </w:p>
        </w:tc>
        <w:tc>
          <w:tcPr>
            <w:tcW w:type="dxa" w:w="1134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FFFFFF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23</w:t>
            </w:r>
          </w:p>
        </w:tc>
        <w:tc>
          <w:tcPr>
            <w:tcW w:type="dxa" w:w="1134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FFFFFF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90</w:t>
            </w:r>
          </w:p>
        </w:tc>
        <w:tc>
          <w:tcPr>
            <w:tcW w:type="dxa" w:w="3855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FFFFFF"/>
          </w:tcPr>
          <w:p>
            <w:pPr>
              <w:spacing w:after="0" w:line="269" w:lineRule="auto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标准化后毛利率提升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159"/>
            <w:shd w:fill="F5B84B"/>
            <w:tcBorders>
              <w:top w:val="single" w:sz="6" w:space="0" w:color="F5B84B"/>
              <w:left w:val="single" w:sz="6" w:space="0" w:color="F5B84B"/>
              <w:bottom w:val="single" w:sz="6" w:space="0" w:color="F5B84B"/>
              <w:right w:val="single" w:sz="6" w:space="0" w:color="F5B84B"/>
            </w:tcBorders>
          </w:tcPr>
          <w:p/>
        </w:tc>
        <w:tc>
          <w:tcPr>
            <w:tcW w:type="dxa" w:w="8901"/>
            <w:shd w:fill="FFF8E6"/>
            <w:tcBorders>
              <w:top w:val="single" w:sz="6" w:space="0" w:color="FFF8E6"/>
              <w:left w:val="single" w:sz="6" w:space="0" w:color="FFF8E6"/>
              <w:bottom w:val="single" w:sz="6" w:space="0" w:color="FFF8E6"/>
              <w:right w:val="single" w:sz="6" w:space="0" w:color="FFF8E6"/>
            </w:tcBorders>
          </w:tcPr>
          <w:p>
            <w:r>
              <w:rPr>
                <w:rFonts w:ascii="微软雅黑" w:hAnsi="微软雅黑" w:eastAsia="微软雅黑"/>
                <w:b/>
                <w:color w:val="0B1524"/>
                <w:sz w:val="21"/>
              </w:rPr>
              <w:t>融资/资源需求</w:t>
            </w:r>
            <w:r>
              <w:br/>
            </w:r>
            <w:r>
              <w:rPr>
                <w:rFonts w:ascii="微软雅黑" w:hAnsi="微软雅黑" w:eastAsia="微软雅黑"/>
                <w:b w:val="0"/>
                <w:color w:val="263445"/>
                <w:sz w:val="19"/>
              </w:rPr>
              <w:t>若进入省赛或后续孵化，可提出 20-50 万元种子支持需求，主要用于真实数据接入、行业调研、软著/专利申请、试点部署和演示设备。资金需求需结合学校政策和团队计划最终调整。</w:t>
            </w:r>
          </w:p>
        </w:tc>
      </w:tr>
    </w:tbl>
    <w:p>
      <w:pPr>
        <w:spacing w:after="40"/>
      </w:pPr>
    </w:p>
    <w:p>
      <w:pPr>
        <w:pStyle w:val="Heading1"/>
        <w:spacing w:before="240" w:after="120"/>
      </w:pPr>
      <w:r>
        <w:t>10. 团队建设与资源配置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</w:trPr>
        <w:tc>
          <w:tcPr>
            <w:tcW w:type="dxa" w:w="1701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12233A"/>
          </w:tcPr>
          <w:p>
            <w:pPr>
              <w:spacing w:after="0" w:line="269" w:lineRule="auto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角色</w:t>
            </w:r>
          </w:p>
        </w:tc>
        <w:tc>
          <w:tcPr>
            <w:tcW w:type="dxa" w:w="1701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12233A"/>
          </w:tcPr>
          <w:p>
            <w:pPr>
              <w:spacing w:after="0" w:line="269" w:lineRule="auto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建议成员</w:t>
            </w:r>
          </w:p>
        </w:tc>
        <w:tc>
          <w:tcPr>
            <w:tcW w:type="dxa" w:w="2948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12233A"/>
          </w:tcPr>
          <w:p>
            <w:pPr>
              <w:spacing w:after="0" w:line="269" w:lineRule="auto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职责</w:t>
            </w:r>
          </w:p>
        </w:tc>
        <w:tc>
          <w:tcPr>
            <w:tcW w:type="dxa" w:w="2665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12233A"/>
          </w:tcPr>
          <w:p>
            <w:pPr>
              <w:spacing w:after="0" w:line="269" w:lineRule="auto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赛前补充材料</w:t>
            </w:r>
          </w:p>
        </w:tc>
      </w:tr>
      <w:tr>
        <w:tc>
          <w:tcPr>
            <w:tcW w:type="dxa" w:w="1701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FFFFFF"/>
          </w:tcPr>
          <w:p>
            <w:pPr>
              <w:spacing w:after="0" w:line="269" w:lineRule="auto"/>
            </w:pPr>
            <w:r/>
            <w:r>
              <w:rPr>
                <w:rFonts w:ascii="微软雅黑" w:hAnsi="微软雅黑" w:eastAsia="微软雅黑"/>
                <w:b/>
                <w:color w:val="1F2937"/>
                <w:sz w:val="16"/>
              </w:rPr>
              <w:t>项目负责人</w:t>
            </w:r>
          </w:p>
        </w:tc>
        <w:tc>
          <w:tcPr>
            <w:tcW w:type="dxa" w:w="1701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FFFFFF"/>
          </w:tcPr>
          <w:p>
            <w:pPr>
              <w:spacing w:after="0" w:line="269" w:lineRule="auto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待填写</w:t>
            </w:r>
          </w:p>
        </w:tc>
        <w:tc>
          <w:tcPr>
            <w:tcW w:type="dxa" w:w="2948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FFFFFF"/>
          </w:tcPr>
          <w:p>
            <w:pPr>
              <w:spacing w:after="0" w:line="269" w:lineRule="auto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商业统筹、答辩、外部沟通</w:t>
            </w:r>
          </w:p>
        </w:tc>
        <w:tc>
          <w:tcPr>
            <w:tcW w:type="dxa" w:w="2665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FFFFFF"/>
          </w:tcPr>
          <w:p>
            <w:pPr>
              <w:spacing w:after="0" w:line="269" w:lineRule="auto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个人简介、获奖、项目经历</w:t>
            </w:r>
          </w:p>
        </w:tc>
      </w:tr>
      <w:tr>
        <w:tc>
          <w:tcPr>
            <w:tcW w:type="dxa" w:w="1701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FFFFFF"/>
          </w:tcPr>
          <w:p>
            <w:pPr>
              <w:spacing w:after="0" w:line="269" w:lineRule="auto"/>
            </w:pPr>
            <w:r/>
            <w:r>
              <w:rPr>
                <w:rFonts w:ascii="微软雅黑" w:hAnsi="微软雅黑" w:eastAsia="微软雅黑"/>
                <w:b/>
                <w:color w:val="1F2937"/>
                <w:sz w:val="16"/>
              </w:rPr>
              <w:t>前端与交互</w:t>
            </w:r>
          </w:p>
        </w:tc>
        <w:tc>
          <w:tcPr>
            <w:tcW w:type="dxa" w:w="1701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FFFFFF"/>
          </w:tcPr>
          <w:p>
            <w:pPr>
              <w:spacing w:after="0" w:line="269" w:lineRule="auto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待填写</w:t>
            </w:r>
          </w:p>
        </w:tc>
        <w:tc>
          <w:tcPr>
            <w:tcW w:type="dxa" w:w="2948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FFFFFF"/>
          </w:tcPr>
          <w:p>
            <w:pPr>
              <w:spacing w:after="0" w:line="269" w:lineRule="auto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地图可视化、控制面板、用户体验</w:t>
            </w:r>
          </w:p>
        </w:tc>
        <w:tc>
          <w:tcPr>
            <w:tcW w:type="dxa" w:w="2665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FFFFFF"/>
          </w:tcPr>
          <w:p>
            <w:pPr>
              <w:spacing w:after="0" w:line="269" w:lineRule="auto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代码贡献、截图、演示视频</w:t>
            </w:r>
          </w:p>
        </w:tc>
      </w:tr>
      <w:tr>
        <w:tc>
          <w:tcPr>
            <w:tcW w:type="dxa" w:w="1701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FFFFFF"/>
          </w:tcPr>
          <w:p>
            <w:pPr>
              <w:spacing w:after="0" w:line="269" w:lineRule="auto"/>
            </w:pPr>
            <w:r/>
            <w:r>
              <w:rPr>
                <w:rFonts w:ascii="微软雅黑" w:hAnsi="微软雅黑" w:eastAsia="微软雅黑"/>
                <w:b/>
                <w:color w:val="1F2937"/>
                <w:sz w:val="16"/>
              </w:rPr>
              <w:t>后端与数据</w:t>
            </w:r>
          </w:p>
        </w:tc>
        <w:tc>
          <w:tcPr>
            <w:tcW w:type="dxa" w:w="1701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FFFFFF"/>
          </w:tcPr>
          <w:p>
            <w:pPr>
              <w:spacing w:after="0" w:line="269" w:lineRule="auto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待填写</w:t>
            </w:r>
          </w:p>
        </w:tc>
        <w:tc>
          <w:tcPr>
            <w:tcW w:type="dxa" w:w="2948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FFFFFF"/>
          </w:tcPr>
          <w:p>
            <w:pPr>
              <w:spacing w:after="0" w:line="269" w:lineRule="auto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REST API、仓储模型、事件和回放</w:t>
            </w:r>
          </w:p>
        </w:tc>
        <w:tc>
          <w:tcPr>
            <w:tcW w:type="dxa" w:w="2665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FFFFFF"/>
          </w:tcPr>
          <w:p>
            <w:pPr>
              <w:spacing w:after="0" w:line="269" w:lineRule="auto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接口文档、测试记录</w:t>
            </w:r>
          </w:p>
        </w:tc>
      </w:tr>
      <w:tr>
        <w:tc>
          <w:tcPr>
            <w:tcW w:type="dxa" w:w="1701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FFFFFF"/>
          </w:tcPr>
          <w:p>
            <w:pPr>
              <w:spacing w:after="0" w:line="269" w:lineRule="auto"/>
            </w:pPr>
            <w:r/>
            <w:r>
              <w:rPr>
                <w:rFonts w:ascii="微软雅黑" w:hAnsi="微软雅黑" w:eastAsia="微软雅黑"/>
                <w:b/>
                <w:color w:val="1F2937"/>
                <w:sz w:val="16"/>
              </w:rPr>
              <w:t>算法与仿真</w:t>
            </w:r>
          </w:p>
        </w:tc>
        <w:tc>
          <w:tcPr>
            <w:tcW w:type="dxa" w:w="1701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FFFFFF"/>
          </w:tcPr>
          <w:p>
            <w:pPr>
              <w:spacing w:after="0" w:line="269" w:lineRule="auto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待填写</w:t>
            </w:r>
          </w:p>
        </w:tc>
        <w:tc>
          <w:tcPr>
            <w:tcW w:type="dxa" w:w="2948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FFFFFF"/>
          </w:tcPr>
          <w:p>
            <w:pPr>
              <w:spacing w:after="0" w:line="269" w:lineRule="auto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Python 场景生成、链路质量、分析算法</w:t>
            </w:r>
          </w:p>
        </w:tc>
        <w:tc>
          <w:tcPr>
            <w:tcW w:type="dxa" w:w="2665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FFFFFF"/>
          </w:tcPr>
          <w:p>
            <w:pPr>
              <w:spacing w:after="0" w:line="269" w:lineRule="auto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模型说明、实验数据</w:t>
            </w:r>
          </w:p>
        </w:tc>
      </w:tr>
      <w:tr>
        <w:tc>
          <w:tcPr>
            <w:tcW w:type="dxa" w:w="1701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FFFFFF"/>
          </w:tcPr>
          <w:p>
            <w:pPr>
              <w:spacing w:after="0" w:line="269" w:lineRule="auto"/>
            </w:pPr>
            <w:r/>
            <w:r>
              <w:rPr>
                <w:rFonts w:ascii="微软雅黑" w:hAnsi="微软雅黑" w:eastAsia="微软雅黑"/>
                <w:b/>
                <w:color w:val="1F2937"/>
                <w:sz w:val="16"/>
              </w:rPr>
              <w:t>商业与运营</w:t>
            </w:r>
          </w:p>
        </w:tc>
        <w:tc>
          <w:tcPr>
            <w:tcW w:type="dxa" w:w="1701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FFFFFF"/>
          </w:tcPr>
          <w:p>
            <w:pPr>
              <w:spacing w:after="0" w:line="269" w:lineRule="auto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待填写</w:t>
            </w:r>
          </w:p>
        </w:tc>
        <w:tc>
          <w:tcPr>
            <w:tcW w:type="dxa" w:w="2948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FFFFFF"/>
          </w:tcPr>
          <w:p>
            <w:pPr>
              <w:spacing w:after="0" w:line="269" w:lineRule="auto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市场调研、竞品分析、财务测算</w:t>
            </w:r>
          </w:p>
        </w:tc>
        <w:tc>
          <w:tcPr>
            <w:tcW w:type="dxa" w:w="2665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FFFFFF"/>
          </w:tcPr>
          <w:p>
            <w:pPr>
              <w:spacing w:after="0" w:line="269" w:lineRule="auto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访谈记录、报价表、推广计划</w:t>
            </w:r>
          </w:p>
        </w:tc>
      </w:tr>
    </w:tbl>
    <w:p>
      <w:pPr>
        <w:pStyle w:val="Heading1"/>
        <w:spacing w:before="240" w:after="120"/>
      </w:pPr>
      <w:r>
        <w:t>11. 风险识别与应对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2041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12233A"/>
          </w:tcPr>
          <w:p>
            <w:pPr>
              <w:spacing w:after="0" w:line="269" w:lineRule="auto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风险</w:t>
            </w:r>
          </w:p>
        </w:tc>
        <w:tc>
          <w:tcPr>
            <w:tcW w:type="dxa" w:w="3175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12233A"/>
          </w:tcPr>
          <w:p>
            <w:pPr>
              <w:spacing w:after="0" w:line="269" w:lineRule="auto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表现</w:t>
            </w:r>
          </w:p>
        </w:tc>
        <w:tc>
          <w:tcPr>
            <w:tcW w:type="dxa" w:w="3798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12233A"/>
          </w:tcPr>
          <w:p>
            <w:pPr>
              <w:spacing w:after="0" w:line="269" w:lineRule="auto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应对措施</w:t>
            </w:r>
          </w:p>
        </w:tc>
      </w:tr>
      <w:tr>
        <w:tc>
          <w:tcPr>
            <w:tcW w:type="dxa" w:w="2041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FFFFFF"/>
          </w:tcPr>
          <w:p>
            <w:pPr>
              <w:spacing w:after="0" w:line="269" w:lineRule="auto"/>
            </w:pPr>
            <w:r/>
            <w:r>
              <w:rPr>
                <w:rFonts w:ascii="微软雅黑" w:hAnsi="微软雅黑" w:eastAsia="微软雅黑"/>
                <w:b/>
                <w:color w:val="1F2937"/>
                <w:sz w:val="16"/>
              </w:rPr>
              <w:t>市场验证不足</w:t>
            </w:r>
          </w:p>
        </w:tc>
        <w:tc>
          <w:tcPr>
            <w:tcW w:type="dxa" w:w="3175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FFFFFF"/>
          </w:tcPr>
          <w:p>
            <w:pPr>
              <w:spacing w:after="0" w:line="269" w:lineRule="auto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缺少真实客户访谈和试点证明</w:t>
            </w:r>
          </w:p>
        </w:tc>
        <w:tc>
          <w:tcPr>
            <w:tcW w:type="dxa" w:w="3798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FFFFFF"/>
          </w:tcPr>
          <w:p>
            <w:pPr>
              <w:spacing w:after="0" w:line="269" w:lineRule="auto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赛前完成 5-8 份访谈记录，争取实验室/学院试用意见</w:t>
            </w:r>
          </w:p>
        </w:tc>
      </w:tr>
      <w:tr>
        <w:tc>
          <w:tcPr>
            <w:tcW w:type="dxa" w:w="2041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FFFFFF"/>
          </w:tcPr>
          <w:p>
            <w:pPr>
              <w:spacing w:after="0" w:line="269" w:lineRule="auto"/>
            </w:pPr>
            <w:r/>
            <w:r>
              <w:rPr>
                <w:rFonts w:ascii="微软雅黑" w:hAnsi="微软雅黑" w:eastAsia="微软雅黑"/>
                <w:b/>
                <w:color w:val="1F2937"/>
                <w:sz w:val="16"/>
              </w:rPr>
              <w:t>数据接入复杂</w:t>
            </w:r>
          </w:p>
        </w:tc>
        <w:tc>
          <w:tcPr>
            <w:tcW w:type="dxa" w:w="3175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FFFFFF"/>
          </w:tcPr>
          <w:p>
            <w:pPr>
              <w:spacing w:after="0" w:line="269" w:lineRule="auto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不同设备协议和字段差异大</w:t>
            </w:r>
          </w:p>
        </w:tc>
        <w:tc>
          <w:tcPr>
            <w:tcW w:type="dxa" w:w="3798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FFFFFF"/>
          </w:tcPr>
          <w:p>
            <w:pPr>
              <w:spacing w:after="0" w:line="269" w:lineRule="auto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先做适配层和标准数据模型，逐步接入真实采集器</w:t>
            </w:r>
          </w:p>
        </w:tc>
      </w:tr>
      <w:tr>
        <w:tc>
          <w:tcPr>
            <w:tcW w:type="dxa" w:w="2041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FFFFFF"/>
          </w:tcPr>
          <w:p>
            <w:pPr>
              <w:spacing w:after="0" w:line="269" w:lineRule="auto"/>
            </w:pPr>
            <w:r/>
            <w:r>
              <w:rPr>
                <w:rFonts w:ascii="微软雅黑" w:hAnsi="微软雅黑" w:eastAsia="微软雅黑"/>
                <w:b/>
                <w:color w:val="1F2937"/>
                <w:sz w:val="16"/>
              </w:rPr>
              <w:t>商业化周期长</w:t>
            </w:r>
          </w:p>
        </w:tc>
        <w:tc>
          <w:tcPr>
            <w:tcW w:type="dxa" w:w="3175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FFFFFF"/>
          </w:tcPr>
          <w:p>
            <w:pPr>
              <w:spacing w:after="0" w:line="269" w:lineRule="auto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政企/园区客户采购流程较长</w:t>
            </w:r>
          </w:p>
        </w:tc>
        <w:tc>
          <w:tcPr>
            <w:tcW w:type="dxa" w:w="3798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FFFFFF"/>
          </w:tcPr>
          <w:p>
            <w:pPr>
              <w:spacing w:after="0" w:line="269" w:lineRule="auto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以教学科研和演练项目切入，降低首单门槛</w:t>
            </w:r>
          </w:p>
        </w:tc>
      </w:tr>
      <w:tr>
        <w:tc>
          <w:tcPr>
            <w:tcW w:type="dxa" w:w="2041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FFFFFF"/>
          </w:tcPr>
          <w:p>
            <w:pPr>
              <w:spacing w:after="0" w:line="269" w:lineRule="auto"/>
            </w:pPr>
            <w:r/>
            <w:r>
              <w:rPr>
                <w:rFonts w:ascii="微软雅黑" w:hAnsi="微软雅黑" w:eastAsia="微软雅黑"/>
                <w:b/>
                <w:color w:val="1F2937"/>
                <w:sz w:val="16"/>
              </w:rPr>
              <w:t>团队资源有限</w:t>
            </w:r>
          </w:p>
        </w:tc>
        <w:tc>
          <w:tcPr>
            <w:tcW w:type="dxa" w:w="3175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FFFFFF"/>
          </w:tcPr>
          <w:p>
            <w:pPr>
              <w:spacing w:after="0" w:line="269" w:lineRule="auto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学生团队研发、销售、交付能力有限</w:t>
            </w:r>
          </w:p>
        </w:tc>
        <w:tc>
          <w:tcPr>
            <w:tcW w:type="dxa" w:w="3798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FFFFFF"/>
          </w:tcPr>
          <w:p>
            <w:pPr>
              <w:spacing w:after="0" w:line="269" w:lineRule="auto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明确分工，引入导师、集成商或实验室资源</w:t>
            </w:r>
          </w:p>
        </w:tc>
      </w:tr>
      <w:tr>
        <w:tc>
          <w:tcPr>
            <w:tcW w:type="dxa" w:w="2041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FFFFFF"/>
          </w:tcPr>
          <w:p>
            <w:pPr>
              <w:spacing w:after="0" w:line="269" w:lineRule="auto"/>
            </w:pPr>
            <w:r/>
            <w:r>
              <w:rPr>
                <w:rFonts w:ascii="微软雅黑" w:hAnsi="微软雅黑" w:eastAsia="微软雅黑"/>
                <w:b/>
                <w:color w:val="1F2937"/>
                <w:sz w:val="16"/>
              </w:rPr>
              <w:t>竞品替代风险</w:t>
            </w:r>
          </w:p>
        </w:tc>
        <w:tc>
          <w:tcPr>
            <w:tcW w:type="dxa" w:w="3175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FFFFFF"/>
          </w:tcPr>
          <w:p>
            <w:pPr>
              <w:spacing w:after="0" w:line="269" w:lineRule="auto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大型网管厂商能力更成熟</w:t>
            </w:r>
          </w:p>
        </w:tc>
        <w:tc>
          <w:tcPr>
            <w:tcW w:type="dxa" w:w="3798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FFFFFF"/>
          </w:tcPr>
          <w:p>
            <w:pPr>
              <w:spacing w:after="0" w:line="269" w:lineRule="auto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聚焦轻量跨层态势、演练回放和二次开发差异化</w:t>
            </w:r>
          </w:p>
        </w:tc>
      </w:tr>
    </w:tbl>
    <w:p>
      <w:pPr>
        <w:pStyle w:val="Heading1"/>
        <w:spacing w:before="240" w:after="120"/>
      </w:pPr>
      <w:r>
        <w:t>12. 附录：当前版本证据与参考资料</w:t>
      </w:r>
    </w:p>
    <w:p>
      <w:pPr>
        <w:pStyle w:val="Heading2"/>
        <w:spacing w:before="160" w:after="120"/>
      </w:pPr>
      <w:r>
        <w:t>12.1 当前版本功能证据</w:t>
      </w:r>
    </w:p>
    <w:p>
      <w:pPr>
        <w:pStyle w:val="ListBullet"/>
        <w:spacing w:after="60" w:line="283" w:lineRule="auto"/>
      </w:pPr>
      <w:r>
        <w:rPr>
          <w:rFonts w:ascii="微软雅黑" w:hAnsi="微软雅黑" w:eastAsia="微软雅黑"/>
          <w:b w:val="0"/>
          <w:color w:val="1F2937"/>
          <w:sz w:val="20"/>
        </w:rPr>
        <w:t>Git 提交：ee715bc《星火杯物联慧眼》。</w:t>
      </w:r>
    </w:p>
    <w:p>
      <w:pPr>
        <w:pStyle w:val="ListBullet"/>
        <w:spacing w:after="60" w:line="283" w:lineRule="auto"/>
      </w:pPr>
      <w:r>
        <w:rPr>
          <w:rFonts w:ascii="微软雅黑" w:hAnsi="微软雅黑" w:eastAsia="微软雅黑"/>
          <w:b w:val="0"/>
          <w:color w:val="1F2937"/>
          <w:sz w:val="20"/>
        </w:rPr>
        <w:t>前端构建：npm run build 已通过，产物位于 build/。</w:t>
      </w:r>
    </w:p>
    <w:p>
      <w:pPr>
        <w:pStyle w:val="ListBullet"/>
        <w:spacing w:after="60" w:line="283" w:lineRule="auto"/>
      </w:pPr>
      <w:r>
        <w:rPr>
          <w:rFonts w:ascii="微软雅黑" w:hAnsi="微软雅黑" w:eastAsia="微软雅黑"/>
          <w:b w:val="0"/>
          <w:color w:val="1F2937"/>
          <w:sz w:val="20"/>
        </w:rPr>
        <w:t>核心接口：/api/topology、/api/nodes/:id、/api/links/:id、/api/situation/current、/api/events、/api/playback/frames、/api/analysis/connectivity、/api/analysis/path。</w:t>
      </w:r>
    </w:p>
    <w:p>
      <w:pPr>
        <w:pStyle w:val="ListBullet"/>
        <w:spacing w:after="60" w:line="283" w:lineRule="auto"/>
      </w:pPr>
      <w:r>
        <w:rPr>
          <w:rFonts w:ascii="微软雅黑" w:hAnsi="微软雅黑" w:eastAsia="微软雅黑"/>
          <w:b w:val="0"/>
          <w:color w:val="1F2937"/>
          <w:sz w:val="20"/>
        </w:rPr>
        <w:t>当前数据：节点 19 个、链路 23 条、网络健康度 69%、在线率 73.68%、平均时延 55.8022ms、平均丢包率 4.29%。</w:t>
      </w:r>
    </w:p>
    <w:p>
      <w:pPr>
        <w:pStyle w:val="ListBullet"/>
        <w:spacing w:after="60" w:line="283" w:lineRule="auto"/>
      </w:pPr>
      <w:r>
        <w:rPr>
          <w:rFonts w:ascii="微软雅黑" w:hAnsi="微软雅黑" w:eastAsia="微软雅黑"/>
          <w:b w:val="0"/>
          <w:color w:val="1F2937"/>
          <w:sz w:val="20"/>
        </w:rPr>
        <w:t>关键能力：动态拓扑、过滤搜索、节点详情、告警推导、历史帧回放、最短路径、Python 场景数据接入。</w:t>
      </w:r>
    </w:p>
    <w:p>
      <w:pPr>
        <w:pStyle w:val="Heading2"/>
        <w:spacing w:before="160" w:after="120"/>
      </w:pPr>
      <w:r>
        <w:t>12.2 参考资料</w:t>
      </w:r>
    </w:p>
    <w:p>
      <w:pPr>
        <w:pStyle w:val="ListBullet"/>
        <w:spacing w:after="60" w:line="283" w:lineRule="auto"/>
      </w:pPr>
      <w:r>
        <w:rPr>
          <w:rFonts w:ascii="微软雅黑" w:hAnsi="微软雅黑" w:eastAsia="微软雅黑"/>
          <w:b w:val="0"/>
          <w:color w:val="1F2937"/>
          <w:sz w:val="20"/>
        </w:rPr>
        <w:t>中国国际大学生创新大赛（2025）评审规则：公开材料显示高教主赛道关注个人成长、项目创新、产业价值、团队协作等维度。</w:t>
      </w:r>
    </w:p>
    <w:p>
      <w:pPr>
        <w:pStyle w:val="ListBullet"/>
        <w:spacing w:after="60" w:line="283" w:lineRule="auto"/>
      </w:pPr>
      <w:r>
        <w:rPr>
          <w:rFonts w:ascii="微软雅黑" w:hAnsi="微软雅黑" w:eastAsia="微软雅黑"/>
          <w:b w:val="0"/>
          <w:color w:val="1F2937"/>
          <w:sz w:val="20"/>
        </w:rPr>
        <w:t>华中科技大学关于中国国际大学生创新大赛（2026）项目预征集的通知：公开材料列示项目计划书和路演 PPT 常见提交项，具体要求以所在学校当年通知为准。</w:t>
      </w:r>
    </w:p>
    <w:p>
      <w:pPr>
        <w:pStyle w:val="ListBullet"/>
        <w:spacing w:after="60" w:line="283" w:lineRule="auto"/>
      </w:pPr>
      <w:r>
        <w:rPr>
          <w:rFonts w:ascii="微软雅黑" w:hAnsi="微软雅黑" w:eastAsia="微软雅黑"/>
          <w:b w:val="0"/>
          <w:color w:val="1F2937"/>
          <w:sz w:val="20"/>
        </w:rPr>
        <w:t>项目本地材料：AGENTS.md、server/src/server.js、src/App.js、Project-001/snapshot.json、Project-001/metrics.json。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159"/>
            <w:shd w:fill="F5B84B"/>
            <w:tcBorders>
              <w:top w:val="single" w:sz="6" w:space="0" w:color="F5B84B"/>
              <w:left w:val="single" w:sz="6" w:space="0" w:color="F5B84B"/>
              <w:bottom w:val="single" w:sz="6" w:space="0" w:color="F5B84B"/>
              <w:right w:val="single" w:sz="6" w:space="0" w:color="F5B84B"/>
            </w:tcBorders>
          </w:tcPr>
          <w:p/>
        </w:tc>
        <w:tc>
          <w:tcPr>
            <w:tcW w:type="dxa" w:w="8901"/>
            <w:shd w:fill="FFF8E6"/>
            <w:tcBorders>
              <w:top w:val="single" w:sz="6" w:space="0" w:color="FFF8E6"/>
              <w:left w:val="single" w:sz="6" w:space="0" w:color="FFF8E6"/>
              <w:bottom w:val="single" w:sz="6" w:space="0" w:color="FFF8E6"/>
              <w:right w:val="single" w:sz="6" w:space="0" w:color="FFF8E6"/>
            </w:tcBorders>
          </w:tcPr>
          <w:p>
            <w:r>
              <w:rPr>
                <w:rFonts w:ascii="微软雅黑" w:hAnsi="微软雅黑" w:eastAsia="微软雅黑"/>
                <w:b/>
                <w:color w:val="0B1524"/>
                <w:sz w:val="21"/>
              </w:rPr>
              <w:t>最终提交前检查清单</w:t>
            </w:r>
            <w:r>
              <w:br/>
            </w:r>
            <w:r>
              <w:rPr>
                <w:rFonts w:ascii="微软雅黑" w:hAnsi="微软雅黑" w:eastAsia="微软雅黑"/>
                <w:b w:val="0"/>
                <w:color w:val="263445"/>
                <w:sz w:val="19"/>
              </w:rPr>
              <w:t>1. 补齐参赛人和团队真实信息；2. 增加市场访谈与试点证明；3. 将财务测算替换为团队确认口径；4. 附软著/论文/获奖/指导教师资源；5. 对照当年学校通知调整页数、格式和附件要求。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1906" w:h="16838"/>
      <w:pgMar w:top="1134" w:right="1247" w:bottom="1049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/>
        <w:b w:val="0"/>
        <w:color w:val="5C6F82"/>
        <w:sz w:val="17"/>
      </w:rPr>
      <w:t>物联慧眼商业计划书 | 星火杯版本 | 参赛信息待完善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0B1524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0B1524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E88E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物联慧眼：星火杯版本商业计划书</dc:title>
  <dc:subject>中国国际大学生创新创业大赛商业计划书</dc:subject>
  <dc:creator>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