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61.png" ContentType="image/png"/>
  <Override PartName="/word/media/rId58.png" ContentType="image/png"/>
  <Override PartName="/word/media/rId25.png" ContentType="image/png"/>
  <Override PartName="/word/media/rId28.png" ContentType="image/png"/>
  <Override PartName="/word/media/rId31.png" ContentType="image/png"/>
  <Override PartName="/word/media/rId34.png" ContentType="image/png"/>
  <Override PartName="/word/media/rId37.png" ContentType="image/png"/>
  <Override PartName="/word/media/rId52.png" ContentType="image/png"/>
  <Override PartName="/word/media/rId40.png" ContentType="image/png"/>
  <Override PartName="/word/media/rId43.png" ContentType="image/png"/>
  <Override PartName="/word/media/rId55.png" ContentType="image/png"/>
  <Override PartName="/word/media/rId49.png" ContentType="image/png"/>
  <Override PartName="/word/media/rId4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uv-k1-series-uv-k5-v3-transceiver"/>
    <w:p>
      <w:pPr>
        <w:pStyle w:val="Heading1"/>
      </w:pPr>
      <w:r>
        <w:t xml:space="preserve">UV-K1 SERIES / UV-K5 V3 TRANSCEIVER</w:t>
      </w:r>
    </w:p>
    <w:bookmarkStart w:id="21" w:name="apex-edition-professional-owners-manual"/>
    <w:p>
      <w:pPr>
        <w:pStyle w:val="Heading2"/>
      </w:pPr>
      <w:r>
        <w:t xml:space="preserve">ApeX Edition Professional Owner’s Manual</w:t>
      </w:r>
    </w:p>
    <w:p>
      <w:pPr>
        <w:pStyle w:val="FirstParagraph"/>
      </w:pPr>
      <w:r>
        <w:rPr>
          <w:bCs/>
          <w:b/>
        </w:rPr>
        <w:t xml:space="preserve">Edition:</w:t>
      </w:r>
      <w:r>
        <w:t xml:space="preserve"> </w:t>
      </w:r>
      <w:r>
        <w:t xml:space="preserve">ApeX Edition</w:t>
      </w:r>
      <w:r>
        <w:br/>
      </w:r>
      <w:r>
        <w:rPr>
          <w:bCs/>
          <w:b/>
        </w:rPr>
        <w:t xml:space="preserve">Authors:</w:t>
      </w:r>
      <w:r>
        <w:t xml:space="preserve"> </w:t>
      </w:r>
      <w:r>
        <w:t xml:space="preserve">Sean, N7SIX | Armel, F4HWN | Egzumer | DualTachyon</w:t>
      </w:r>
      <w:r>
        <w:br/>
      </w:r>
      <w:r>
        <w:rPr>
          <w:bCs/>
          <w:b/>
        </w:rPr>
        <w:t xml:space="preserve">Firmware Version:</w:t>
      </w:r>
      <w:r>
        <w:t xml:space="preserve"> </w:t>
      </w:r>
      <w:r>
        <w:t xml:space="preserve">7.6.0</w:t>
      </w:r>
      <w:r>
        <w:br/>
      </w:r>
      <w:r>
        <w:rPr>
          <w:bCs/>
          <w:b/>
        </w:rPr>
        <w:t xml:space="preserve">Document Date:</w:t>
      </w:r>
      <w:r>
        <w:t xml:space="preserve"> </w:t>
      </w:r>
      <w:r>
        <w:t xml:space="preserve">February 28, 2026</w:t>
      </w:r>
    </w:p>
    <w:p>
      <w:r>
        <w:pict>
          <v:rect style="width:0;height:1.5pt" o:hralign="center" o:hrstd="t" o:hr="t"/>
        </w:pict>
      </w:r>
    </w:p>
    <w:bookmarkStart w:id="20" w:name="table-of-contents"/>
    <w:p>
      <w:pPr>
        <w:pStyle w:val="Heading3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safety--regulatory-information">
        <w:r>
          <w:rPr>
            <w:rStyle w:val="Hyperlink"/>
          </w:rPr>
          <w:t xml:space="preserve">Safety &amp; Regulatory Information</w:t>
        </w:r>
      </w:hyperlink>
    </w:p>
    <w:p>
      <w:pPr>
        <w:numPr>
          <w:ilvl w:val="0"/>
          <w:numId w:val="1001"/>
        </w:numPr>
        <w:pStyle w:val="Compact"/>
      </w:pPr>
      <w:hyperlink w:anchor="getting-started">
        <w:r>
          <w:rPr>
            <w:rStyle w:val="Hyperlink"/>
          </w:rPr>
          <w:t xml:space="preserve">Getting Started</w:t>
        </w:r>
      </w:hyperlink>
    </w:p>
    <w:p>
      <w:pPr>
        <w:numPr>
          <w:ilvl w:val="1"/>
          <w:numId w:val="1002"/>
        </w:numPr>
        <w:pStyle w:val="Compact"/>
      </w:pPr>
      <w:hyperlink w:anchor="initial-setup">
        <w:r>
          <w:rPr>
            <w:rStyle w:val="Hyperlink"/>
          </w:rPr>
          <w:t xml:space="preserve">Initial Setup</w:t>
        </w:r>
      </w:hyperlink>
    </w:p>
    <w:p>
      <w:pPr>
        <w:numPr>
          <w:ilvl w:val="1"/>
          <w:numId w:val="1002"/>
        </w:numPr>
        <w:pStyle w:val="Compact"/>
      </w:pPr>
      <w:hyperlink w:anchor="battery-management">
        <w:r>
          <w:rPr>
            <w:rStyle w:val="Hyperlink"/>
          </w:rPr>
          <w:t xml:space="preserve">Battery Management</w:t>
        </w:r>
      </w:hyperlink>
    </w:p>
    <w:p>
      <w:pPr>
        <w:numPr>
          <w:ilvl w:val="1"/>
          <w:numId w:val="1002"/>
        </w:numPr>
        <w:pStyle w:val="Compact"/>
      </w:pPr>
      <w:hyperlink w:anchor="display-modes">
        <w:r>
          <w:rPr>
            <w:rStyle w:val="Hyperlink"/>
          </w:rPr>
          <w:t xml:space="preserve">Display Modes</w:t>
        </w:r>
      </w:hyperlink>
    </w:p>
    <w:p>
      <w:pPr>
        <w:numPr>
          <w:ilvl w:val="0"/>
          <w:numId w:val="1001"/>
        </w:numPr>
        <w:pStyle w:val="Compact"/>
      </w:pPr>
      <w:hyperlink w:anchor="front-panel-controls">
        <w:r>
          <w:rPr>
            <w:rStyle w:val="Hyperlink"/>
          </w:rPr>
          <w:t xml:space="preserve">Front Panel Controls</w:t>
        </w:r>
      </w:hyperlink>
    </w:p>
    <w:p>
      <w:pPr>
        <w:numPr>
          <w:ilvl w:val="0"/>
          <w:numId w:val="1001"/>
        </w:numPr>
        <w:pStyle w:val="Compact"/>
      </w:pPr>
      <w:hyperlink w:anchor="icon-legend">
        <w:r>
          <w:rPr>
            <w:rStyle w:val="Hyperlink"/>
          </w:rPr>
          <w:t xml:space="preserve">Icon Legend</w:t>
        </w:r>
      </w:hyperlink>
    </w:p>
    <w:p>
      <w:pPr>
        <w:numPr>
          <w:ilvl w:val="0"/>
          <w:numId w:val="1001"/>
        </w:numPr>
        <w:pStyle w:val="Compact"/>
      </w:pPr>
      <w:hyperlink w:anchor="operating-modes">
        <w:r>
          <w:rPr>
            <w:rStyle w:val="Hyperlink"/>
          </w:rPr>
          <w:t xml:space="preserve">Operating Modes</w:t>
        </w:r>
      </w:hyperlink>
    </w:p>
    <w:p>
      <w:pPr>
        <w:numPr>
          <w:ilvl w:val="1"/>
          <w:numId w:val="1003"/>
        </w:numPr>
        <w:pStyle w:val="Compact"/>
      </w:pPr>
      <w:hyperlink w:anchor="vfo-variable-frequency-oscillator-mode">
        <w:r>
          <w:rPr>
            <w:rStyle w:val="Hyperlink"/>
          </w:rPr>
          <w:t xml:space="preserve">VFO Mode</w:t>
        </w:r>
      </w:hyperlink>
    </w:p>
    <w:p>
      <w:pPr>
        <w:numPr>
          <w:ilvl w:val="1"/>
          <w:numId w:val="1003"/>
        </w:numPr>
        <w:pStyle w:val="Compact"/>
      </w:pPr>
      <w:hyperlink w:anchor="memory-channel-mode">
        <w:r>
          <w:rPr>
            <w:rStyle w:val="Hyperlink"/>
          </w:rPr>
          <w:t xml:space="preserve">Memory Channel Mode</w:t>
        </w:r>
      </w:hyperlink>
    </w:p>
    <w:p>
      <w:pPr>
        <w:numPr>
          <w:ilvl w:val="1"/>
          <w:numId w:val="1003"/>
        </w:numPr>
        <w:pStyle w:val="Compact"/>
      </w:pPr>
      <w:hyperlink w:anchor="scan-mode">
        <w:r>
          <w:rPr>
            <w:rStyle w:val="Hyperlink"/>
          </w:rPr>
          <w:t xml:space="preserve">Scan Mode</w:t>
        </w:r>
      </w:hyperlink>
    </w:p>
    <w:p>
      <w:pPr>
        <w:numPr>
          <w:ilvl w:val="0"/>
          <w:numId w:val="1001"/>
        </w:numPr>
        <w:pStyle w:val="Compact"/>
      </w:pPr>
      <w:hyperlink w:anchor="menu-system-reference">
        <w:r>
          <w:rPr>
            <w:rStyle w:val="Hyperlink"/>
          </w:rPr>
          <w:t xml:space="preserve">Menu System Reference</w:t>
        </w:r>
      </w:hyperlink>
    </w:p>
    <w:p>
      <w:pPr>
        <w:numPr>
          <w:ilvl w:val="1"/>
          <w:numId w:val="1004"/>
        </w:numPr>
        <w:pStyle w:val="Compact"/>
      </w:pPr>
      <w:hyperlink w:anchor="Xbaed151ae802dd5460f3a90ec6cf1cfa3912c4e">
        <w:r>
          <w:rPr>
            <w:rStyle w:val="Hyperlink"/>
          </w:rPr>
          <w:t xml:space="preserve">Core Settings</w:t>
        </w:r>
      </w:hyperlink>
    </w:p>
    <w:p>
      <w:pPr>
        <w:numPr>
          <w:ilvl w:val="1"/>
          <w:numId w:val="1004"/>
        </w:numPr>
        <w:pStyle w:val="Compact"/>
      </w:pPr>
      <w:hyperlink w:anchor="advanced-settings">
        <w:r>
          <w:rPr>
            <w:rStyle w:val="Hyperlink"/>
          </w:rPr>
          <w:t xml:space="preserve">Advanced Settings</w:t>
        </w:r>
      </w:hyperlink>
    </w:p>
    <w:p>
      <w:pPr>
        <w:numPr>
          <w:ilvl w:val="0"/>
          <w:numId w:val="1001"/>
        </w:numPr>
        <w:pStyle w:val="Compact"/>
      </w:pPr>
      <w:hyperlink w:anchor="advanced-features">
        <w:r>
          <w:rPr>
            <w:rStyle w:val="Hyperlink"/>
          </w:rPr>
          <w:t xml:space="preserve">Advanced Features</w:t>
        </w:r>
      </w:hyperlink>
    </w:p>
    <w:p>
      <w:pPr>
        <w:numPr>
          <w:ilvl w:val="1"/>
          <w:numId w:val="1005"/>
        </w:numPr>
        <w:pStyle w:val="Compact"/>
      </w:pPr>
      <w:hyperlink w:anchor="professional-spectrum-analyzer">
        <w:r>
          <w:rPr>
            <w:rStyle w:val="Hyperlink"/>
          </w:rPr>
          <w:t xml:space="preserve">Spectrum Analyzer</w:t>
        </w:r>
      </w:hyperlink>
    </w:p>
    <w:p>
      <w:pPr>
        <w:numPr>
          <w:ilvl w:val="1"/>
          <w:numId w:val="1005"/>
        </w:numPr>
        <w:pStyle w:val="Compact"/>
      </w:pPr>
      <w:hyperlink w:anchor="Xe6c0af717f011ba881bec98e8e84c6c76c9fd9f">
        <w:r>
          <w:rPr>
            <w:rStyle w:val="Hyperlink"/>
          </w:rPr>
          <w:t xml:space="preserve">Air Copy</w:t>
        </w:r>
      </w:hyperlink>
    </w:p>
    <w:p>
      <w:pPr>
        <w:numPr>
          <w:ilvl w:val="1"/>
          <w:numId w:val="1005"/>
        </w:numPr>
        <w:pStyle w:val="Compact"/>
      </w:pPr>
      <w:hyperlink w:anchor="custom-key-programming">
        <w:r>
          <w:rPr>
            <w:rStyle w:val="Hyperlink"/>
          </w:rPr>
          <w:t xml:space="preserve">Custom Key Programming</w:t>
        </w:r>
      </w:hyperlink>
    </w:p>
    <w:p>
      <w:pPr>
        <w:numPr>
          <w:ilvl w:val="0"/>
          <w:numId w:val="1001"/>
        </w:numPr>
        <w:pStyle w:val="Compact"/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pPr>
        <w:numPr>
          <w:ilvl w:val="0"/>
          <w:numId w:val="1001"/>
        </w:numPr>
        <w:pStyle w:val="Compact"/>
      </w:pPr>
      <w:hyperlink w:anchor="technical-specifications">
        <w:r>
          <w:rPr>
            <w:rStyle w:val="Hyperlink"/>
          </w:rPr>
          <w:t xml:space="preserve">Technical Specifications</w:t>
        </w:r>
      </w:hyperlink>
    </w:p>
    <w:p>
      <w:pPr>
        <w:numPr>
          <w:ilvl w:val="0"/>
          <w:numId w:val="1001"/>
        </w:numPr>
        <w:pStyle w:val="Compact"/>
      </w:pPr>
      <w:hyperlink w:anchor="warranty--liability">
        <w:r>
          <w:rPr>
            <w:rStyle w:val="Hyperlink"/>
          </w:rPr>
          <w:t xml:space="preserve">Warranty &amp; Liability</w:t>
        </w:r>
      </w:hyperlink>
    </w:p>
    <w:p>
      <w:pPr>
        <w:numPr>
          <w:ilvl w:val="0"/>
          <w:numId w:val="1001"/>
        </w:numPr>
        <w:pStyle w:val="Compact"/>
      </w:pPr>
      <w:hyperlink w:anchor="support--resources">
        <w:r>
          <w:rPr>
            <w:rStyle w:val="Hyperlink"/>
          </w:rPr>
          <w:t xml:space="preserve">Support &amp; Resources</w:t>
        </w:r>
      </w:hyperlink>
    </w:p>
    <w:p>
      <w:pPr>
        <w:numPr>
          <w:ilvl w:val="0"/>
          <w:numId w:val="1001"/>
        </w:numPr>
        <w:pStyle w:val="Compact"/>
      </w:pPr>
      <w:hyperlink w:anchor="revision-history">
        <w:r>
          <w:rPr>
            <w:rStyle w:val="Hyperlink"/>
          </w:rPr>
          <w:t xml:space="preserve">Revision History</w:t>
        </w:r>
      </w:hyperlink>
    </w:p>
    <w:p>
      <w:r>
        <w:pict>
          <v:rect style="width:0;height:1.5pt" o:hralign="center" o:hrstd="t" o:hr="t"/>
        </w:pict>
      </w:r>
    </w:p>
    <w:bookmarkEnd w:id="20"/>
    <w:bookmarkEnd w:id="21"/>
    <w:bookmarkStart w:id="64" w:name="icon-legend"/>
    <w:p>
      <w:pPr>
        <w:pStyle w:val="Heading2"/>
      </w:pPr>
      <w:r>
        <w:t xml:space="preserve">ICON LEGEND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38"/>
        <w:gridCol w:w="2731"/>
        <w:gridCol w:w="35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Icon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215900"/>
                  <wp:effectExtent b="0" l="0" r="0" t="0"/>
                  <wp:docPr descr="Battery" title="" id="23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BatteryLevel1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215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Battery level/status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Scan0" title="" id="26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ScanList0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List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scan list 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Scan1" title="" id="29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ScanList1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List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scan list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Scan2" title="" id="32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ScanList2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List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scan list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Scan3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ScanList3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List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Channel scan list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241300"/>
                  <wp:effectExtent b="0" l="0" r="0" t="0"/>
                  <wp:docPr descr="ScanAll" title="" id="38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ScanListAll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241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Scan 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scan lists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VFO" title="" id="41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VFO_Default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VFO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Variable Frequency Oscillator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88900"/>
                  <wp:effectExtent b="0" l="0" r="0" t="0"/>
                  <wp:docPr descr="Lock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VFO_Lock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889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Keypad lock active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152400"/>
                  <wp:effectExtent b="0" l="0" r="0" t="0"/>
                  <wp:docPr descr="Mute" title="" id="47" name="Picture"/>
                  <a:graphic>
                    <a:graphicData uri="http://schemas.openxmlformats.org/drawingml/2006/picture">
                      <pic:pic>
                        <pic:nvPicPr>
                          <pic:cNvPr descr="icons_from_c/gFontMu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muted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114300"/>
                  <wp:effectExtent b="0" l="0" r="0" t="0"/>
                  <wp:docPr descr="Light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cons_from_c/gFontLight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Backlight 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114300"/>
                  <wp:effectExtent b="0" l="0" r="0" t="0"/>
                  <wp:docPr descr="USB-C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USB_C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143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USB-C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Charging via USB-C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76200"/>
                  <wp:effectExtent b="0" l="0" r="0" t="0"/>
                  <wp:docPr descr="Compand" title="" id="56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compand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762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Audio companding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PowerSave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save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152400"/>
                  <wp:effectExtent b="0" l="0" r="0" t="0"/>
                  <wp:docPr descr="NOAA" title="" id="59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NOAA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NOAA weather mode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drawing>
                <wp:inline>
                  <wp:extent cx="101600" cy="101600"/>
                  <wp:effectExtent b="0" l="0" r="0" t="0"/>
                  <wp:docPr descr="Current" title="" id="62" name="Picture"/>
                  <a:graphic>
                    <a:graphicData uri="http://schemas.openxmlformats.org/drawingml/2006/picture">
                      <pic:pic>
                        <pic:nvPicPr>
                          <pic:cNvPr descr="icons_from_c/BITMAP_CurrentIndicator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1600" cy="1016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Menu Cursor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menu selection</w:t>
            </w:r>
          </w:p>
        </w:tc>
      </w:tr>
    </w:tbl>
    <w:p>
      <w:pPr>
        <w:pStyle w:val="BodyText"/>
      </w:pPr>
      <w:r>
        <w:rPr>
          <w:iCs/>
          <w:i/>
        </w:rPr>
        <w:t xml:space="preserve">Note: Icons are shown as they appear on the radio’s monochrome LCD. Actual appearance may vary slightly.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…existing content omitted for brevity…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2" Target="media/rId22.png" /><Relationship Type="http://schemas.openxmlformats.org/officeDocument/2006/relationships/image" Id="rId61" Target="media/rId61.png" /><Relationship Type="http://schemas.openxmlformats.org/officeDocument/2006/relationships/image" Id="rId58" Target="media/rId58.png" /><Relationship Type="http://schemas.openxmlformats.org/officeDocument/2006/relationships/image" Id="rId25" Target="media/rId25.png" /><Relationship Type="http://schemas.openxmlformats.org/officeDocument/2006/relationships/image" Id="rId28" Target="media/rId28.png" /><Relationship Type="http://schemas.openxmlformats.org/officeDocument/2006/relationships/image" Id="rId31" Target="media/rId31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52" Target="media/rId52.png" /><Relationship Type="http://schemas.openxmlformats.org/officeDocument/2006/relationships/image" Id="rId40" Target="media/rId40.png" /><Relationship Type="http://schemas.openxmlformats.org/officeDocument/2006/relationships/image" Id="rId43" Target="media/rId43.png" /><Relationship Type="http://schemas.openxmlformats.org/officeDocument/2006/relationships/image" Id="rId55" Target="media/rId55.png" /><Relationship Type="http://schemas.openxmlformats.org/officeDocument/2006/relationships/image" Id="rId49" Target="media/rId49.png" /><Relationship Type="http://schemas.openxmlformats.org/officeDocument/2006/relationships/image" Id="rId46" Target="media/rId4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2026-03-09T07:58:42Z</dcterms:created>
  <dcterms:modified xsi:type="dcterms:W3CDTF">2026-03-09T07:58:42Z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