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AF73B" w14:textId="087823FD" w:rsidR="00C87D94" w:rsidRDefault="00FD3D52">
      <w:pPr>
        <w:spacing w:after="132" w:line="265" w:lineRule="auto"/>
        <w:ind w:left="478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CDFB18" wp14:editId="1526B0D9">
            <wp:simplePos x="0" y="0"/>
            <wp:positionH relativeFrom="column">
              <wp:posOffset>297366</wp:posOffset>
            </wp:positionH>
            <wp:positionV relativeFrom="paragraph">
              <wp:posOffset>-158680</wp:posOffset>
            </wp:positionV>
            <wp:extent cx="762000" cy="10160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Pontificia Universidad Cat</w:t>
      </w:r>
      <w:r w:rsidR="00913457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>lica de Chile</w:t>
      </w:r>
    </w:p>
    <w:p w14:paraId="7BAB4B9A" w14:textId="76CA102E" w:rsidR="00C87D94" w:rsidRDefault="00FD3D52">
      <w:pPr>
        <w:spacing w:after="132" w:line="265" w:lineRule="auto"/>
        <w:ind w:left="478" w:hanging="10"/>
        <w:jc w:val="left"/>
      </w:pPr>
      <w:r>
        <w:rPr>
          <w:rFonts w:ascii="Calibri" w:eastAsia="Calibri" w:hAnsi="Calibri" w:cs="Calibri"/>
        </w:rPr>
        <w:t>Facultad de Matem</w:t>
      </w:r>
      <w:r w:rsidR="00913457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tic</w:t>
      </w:r>
      <w:r w:rsidR="00913457" w:rsidRPr="00913457">
        <w:rPr>
          <w:rFonts w:ascii="Calibri" w:eastAsia="Calibri" w:hAnsi="Calibri" w:cs="Calibri"/>
          <w:lang w:val="es-CL"/>
        </w:rPr>
        <w:t>a</w:t>
      </w:r>
      <w:r>
        <w:rPr>
          <w:rFonts w:ascii="Calibri" w:eastAsia="Calibri" w:hAnsi="Calibri" w:cs="Calibri"/>
        </w:rPr>
        <w:t>s</w:t>
      </w:r>
    </w:p>
    <w:p w14:paraId="7580437C" w14:textId="4478AC1A" w:rsidR="00C87D94" w:rsidRPr="00913457" w:rsidRDefault="00FD3D52">
      <w:pPr>
        <w:spacing w:after="1107" w:line="265" w:lineRule="auto"/>
        <w:ind w:left="478" w:hanging="10"/>
        <w:jc w:val="left"/>
        <w:rPr>
          <w:lang w:val="en-US"/>
        </w:rPr>
      </w:pPr>
      <w:r>
        <w:rPr>
          <w:rFonts w:ascii="Calibri" w:eastAsia="Calibri" w:hAnsi="Calibri" w:cs="Calibri"/>
        </w:rPr>
        <w:t>Departamento de Matem</w:t>
      </w:r>
      <w:r w:rsidR="00913457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tic</w:t>
      </w:r>
      <w:r w:rsidR="00913457">
        <w:rPr>
          <w:rFonts w:ascii="Calibri" w:eastAsia="Calibri" w:hAnsi="Calibri" w:cs="Calibri"/>
          <w:lang w:val="en-US"/>
        </w:rPr>
        <w:t>as</w:t>
      </w:r>
    </w:p>
    <w:p w14:paraId="54A9E5A8" w14:textId="77777777" w:rsidR="00C87D94" w:rsidRDefault="00FD3D52">
      <w:pPr>
        <w:pStyle w:val="Heading1"/>
      </w:pPr>
      <w:r>
        <w:t>Actividad 5</w:t>
      </w:r>
    </w:p>
    <w:p w14:paraId="14DC3061" w14:textId="3F3A2D1E" w:rsidR="00C87D94" w:rsidRDefault="00FD3D52">
      <w:pPr>
        <w:spacing w:after="0" w:line="381" w:lineRule="auto"/>
        <w:ind w:left="1531" w:right="1103" w:firstLine="118"/>
        <w:jc w:val="left"/>
      </w:pPr>
      <w:r>
        <w:rPr>
          <w:sz w:val="29"/>
        </w:rPr>
        <w:t>Programa de Habilidades Comunicativas Escritas para Ciencias Naturales y Matem</w:t>
      </w:r>
      <w:r w:rsidR="00913457">
        <w:rPr>
          <w:sz w:val="29"/>
        </w:rPr>
        <w:t>á</w:t>
      </w:r>
      <w:r>
        <w:rPr>
          <w:sz w:val="29"/>
        </w:rPr>
        <w:t>ticas - LET172E</w:t>
      </w:r>
    </w:p>
    <w:p w14:paraId="5E38C49D" w14:textId="77777777" w:rsidR="00C87D94" w:rsidRDefault="00FD3D52">
      <w:pPr>
        <w:spacing w:after="7811"/>
        <w:ind w:firstLine="0"/>
      </w:pPr>
      <w:r>
        <w:t>Fecha de Entrega: 2020-01-17</w:t>
      </w:r>
    </w:p>
    <w:p w14:paraId="42DBB0E6" w14:textId="77777777" w:rsidR="00C87D94" w:rsidRDefault="00FD3D52">
      <w:pPr>
        <w:pStyle w:val="Heading2"/>
      </w:pPr>
      <w:r>
        <w:lastRenderedPageBreak/>
        <w:t>Nicholas Mc-Donnell</w:t>
      </w:r>
    </w:p>
    <w:p w14:paraId="011E36AF" w14:textId="4A8882ED" w:rsidR="00C87D94" w:rsidRDefault="00FD3D52">
      <w:pPr>
        <w:spacing w:after="225"/>
        <w:ind w:left="-15"/>
      </w:pPr>
      <w:r>
        <w:t>El “Machine Learning” se ha vuelto una vital herramienta para m</w:t>
      </w:r>
      <w:r w:rsidR="00913457">
        <w:t>ú</w:t>
      </w:r>
      <w:r>
        <w:t>ltiples tipos de problemas, desde clasificaci´</w:t>
      </w:r>
      <w:r>
        <w:t xml:space="preserve">on de im´agenes (Sultana, Sufian, y Dutta, 2019) hasta ayudar a traducir documentos. En este </w:t>
      </w:r>
      <w:r w:rsidR="00913457">
        <w:t>ú</w:t>
      </w:r>
      <w:r>
        <w:t>ltimo, las Redes Neuronales (RNs)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 xml:space="preserve">han sido un cambio impresionante al </w:t>
      </w:r>
      <w:r w:rsidR="00913457">
        <w:t>á</w:t>
      </w:r>
      <w:r>
        <w:t>rea, cada persona que ha usado Google Translate</w:t>
      </w:r>
      <w:r>
        <w:rPr>
          <w:vertAlign w:val="superscript"/>
        </w:rPr>
        <w:t>TM</w:t>
      </w:r>
      <w:r w:rsidR="00913457" w:rsidRPr="00913457">
        <w:rPr>
          <w:vertAlign w:val="superscript"/>
          <w:lang w:val="es-CL"/>
        </w:rPr>
        <w:t xml:space="preserve"> </w:t>
      </w:r>
      <w:r>
        <w:t>ha notado la impresionante mejora en l</w:t>
      </w:r>
      <w:r>
        <w:t xml:space="preserve">os </w:t>
      </w:r>
      <w:r w:rsidR="00913457">
        <w:t>ú</w:t>
      </w:r>
      <w:r>
        <w:t>ltimos a</w:t>
      </w:r>
      <w:bookmarkStart w:id="0" w:name="_GoBack"/>
      <w:bookmarkEnd w:id="0"/>
      <w:r w:rsidR="00913457">
        <w:t>ñ</w:t>
      </w:r>
      <w:r>
        <w:t>os, en los cuales el servicio transicion</w:t>
      </w:r>
      <w:r w:rsidR="00913457">
        <w:t>ó</w:t>
      </w:r>
      <w:r>
        <w:t xml:space="preserve"> de usar “Statistical Machine Learning” a RNs (Turovsky, 2016).</w:t>
      </w:r>
    </w:p>
    <w:p w14:paraId="7F2483DA" w14:textId="75F74353" w:rsidR="00C87D94" w:rsidRDefault="00FD3D52">
      <w:pPr>
        <w:spacing w:after="214"/>
        <w:ind w:left="-15"/>
      </w:pPr>
      <w:r>
        <w:t>El gran cambio que se ha visto viene de la reciente investigaci</w:t>
      </w:r>
      <w:r w:rsidR="00913457">
        <w:t>ó</w:t>
      </w:r>
      <w:r>
        <w:t>n en distintas arquitecturas de RNs, por ejemplo Rashid, Do-Omri, Haid</w:t>
      </w:r>
      <w:r>
        <w:t>ar, Liu, y Rezagholizadeh (2019) propusieron un modelo el cual utiliza avances en otro problema</w:t>
      </w:r>
      <w:r>
        <w:rPr>
          <w:vertAlign w:val="superscript"/>
        </w:rPr>
        <w:footnoteReference w:id="2"/>
      </w:r>
      <w:r>
        <w:rPr>
          <w:vertAlign w:val="superscript"/>
        </w:rPr>
        <w:t xml:space="preserve"> </w:t>
      </w:r>
      <w:r>
        <w:t>para adem</w:t>
      </w:r>
      <w:r w:rsidR="00913457">
        <w:t>á</w:t>
      </w:r>
      <w:r>
        <w:t>s avanzar en la calidad de traducci</w:t>
      </w:r>
      <w:r w:rsidR="00913457">
        <w:t>ó</w:t>
      </w:r>
      <w:r>
        <w:t>n, otros como Vaswani et al. (2017) proponen un modelo simple usando el “Transformador” como base. Esto claram</w:t>
      </w:r>
      <w:r>
        <w:t>ente muestra una variedad importante en las arquitecturas de RNs que intentan solucionar el problema de traducci</w:t>
      </w:r>
      <w:r w:rsidR="00913457">
        <w:t>ó</w:t>
      </w:r>
      <w:r>
        <w:t>n.</w:t>
      </w:r>
    </w:p>
    <w:p w14:paraId="36E34FD0" w14:textId="6E651349" w:rsidR="00C87D94" w:rsidRDefault="00FD3D52">
      <w:pPr>
        <w:spacing w:after="690"/>
        <w:ind w:left="-15"/>
      </w:pPr>
      <w:r>
        <w:t>Por lo cual, este trabajo tiene el objetivo de comparar distintas arquitecturas de Redes Neuronales para el problema de mapeo multiling</w:t>
      </w:r>
      <w:r w:rsidR="00913457">
        <w:t>ü</w:t>
      </w:r>
      <w:r>
        <w:t>e</w:t>
      </w:r>
      <w:r>
        <w:rPr>
          <w:vertAlign w:val="superscript"/>
        </w:rPr>
        <w:footnoteReference w:id="3"/>
      </w:r>
      <w:r>
        <w:t>. Para lograr esto, se realiz</w:t>
      </w:r>
      <w:r w:rsidR="00913457">
        <w:t>ó</w:t>
      </w:r>
      <w:r>
        <w:t xml:space="preserve"> una revisi</w:t>
      </w:r>
      <w:r w:rsidR="00913457">
        <w:t>ó</w:t>
      </w:r>
      <w:r>
        <w:t>n de literatura de varios art´ıculos sobre el tema, de los cuales tres tienen como enfoque presentar una nueva arquitectura de RNs y el resto da mejoras y apoyo a los primeros. Para un facilitar la comparaci</w:t>
      </w:r>
      <w:r w:rsidR="00913457">
        <w:t>ó</w:t>
      </w:r>
      <w:r>
        <w:t xml:space="preserve">n </w:t>
      </w:r>
      <w:r>
        <w:t>se introducir</w:t>
      </w:r>
      <w:r w:rsidR="00913457">
        <w:t>á</w:t>
      </w:r>
      <w:r>
        <w:t>n las distintas arquitecturas separadamente, primero se ver´a la arquitectura de Vaswani et al. (2017), desp</w:t>
      </w:r>
      <w:r w:rsidR="00913457">
        <w:t>ú</w:t>
      </w:r>
      <w:r>
        <w:t xml:space="preserve">es la de Rashid et al. (2019) y por </w:t>
      </w:r>
      <w:r w:rsidR="00913457">
        <w:t>ú</w:t>
      </w:r>
      <w:r>
        <w:t>ltimo la de Artetxe et al. (2018), desp</w:t>
      </w:r>
      <w:r w:rsidR="00913457">
        <w:t>ú</w:t>
      </w:r>
      <w:r>
        <w:t>es de introducirlas se har´a una comparaci</w:t>
      </w:r>
      <w:r w:rsidR="00913457">
        <w:t>ó</w:t>
      </w:r>
      <w:r>
        <w:t>n de los</w:t>
      </w:r>
      <w:r>
        <w:t xml:space="preserve"> resultados de cada arquitectura.</w:t>
      </w:r>
    </w:p>
    <w:p w14:paraId="4979A91E" w14:textId="77777777" w:rsidR="00C87D94" w:rsidRDefault="00FD3D52">
      <w:pPr>
        <w:pStyle w:val="Heading3"/>
        <w:ind w:left="-5"/>
      </w:pPr>
      <w:r>
        <w:lastRenderedPageBreak/>
        <w:t>El Transformador, arquitectura de Vaswani et al. (2017)</w:t>
      </w:r>
    </w:p>
    <w:p w14:paraId="5B59B379" w14:textId="3622B423" w:rsidR="00C87D94" w:rsidRDefault="00FD3D52">
      <w:pPr>
        <w:spacing w:after="223"/>
        <w:ind w:left="-15"/>
      </w:pPr>
      <w:r>
        <w:t>La arquitectura presentada por Vaswani et al. (2017) es una que solamente usa un mecanismo de atenci</w:t>
      </w:r>
      <w:r w:rsidR="00913457">
        <w:t>ó</w:t>
      </w:r>
      <w:r>
        <w:t>n entre el decodificador y el codificador, a este la llaman el T</w:t>
      </w:r>
      <w:r>
        <w:t>ransformador. La idea solo usar el mecanismo de atenci</w:t>
      </w:r>
      <w:r w:rsidR="00913457">
        <w:t>ó</w:t>
      </w:r>
      <w:r>
        <w:t>n proviene de art´ıculos anteriores donde se usaban arquitecturas de RNs convolucionales que incl</w:t>
      </w:r>
      <w:r w:rsidR="00913457">
        <w:t>ú</w:t>
      </w:r>
      <w:r>
        <w:t>ıan un decodificador y un codificador, pero adem</w:t>
      </w:r>
      <w:r w:rsidR="00913457">
        <w:t>á</w:t>
      </w:r>
      <w:r>
        <w:t>s agregaban un mecanismo de atenci´on entre el deco</w:t>
      </w:r>
      <w:r>
        <w:t>dificador y el codificador, logrando as´ı mejores resultados que las RNs convolucionales que no usan este mecanismo.</w:t>
      </w:r>
    </w:p>
    <w:p w14:paraId="1B46FF0D" w14:textId="1F977F72" w:rsidR="00C87D94" w:rsidRDefault="00FD3D52">
      <w:pPr>
        <w:ind w:left="-15"/>
      </w:pPr>
      <w:r>
        <w:t>Para profundizar, el Transformador tiene dos partes, el decodificador y el codificador. El codificador mapea una secuencia de representacio</w:t>
      </w:r>
      <w:r>
        <w:t>nes con s´ımbolos 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i/>
        </w:rPr>
        <w:t>,...,x</w:t>
      </w:r>
      <w:r>
        <w:rPr>
          <w:i/>
          <w:vertAlign w:val="subscript"/>
        </w:rPr>
        <w:t>n</w:t>
      </w:r>
      <w:r>
        <w:t>) a una secuencia de representaci</w:t>
      </w:r>
      <w:r w:rsidR="00913457">
        <w:t>ó</w:t>
      </w:r>
      <w:r>
        <w:t xml:space="preserve">n continua </w:t>
      </w:r>
      <w:r>
        <w:rPr>
          <w:i/>
        </w:rPr>
        <w:t xml:space="preserve">z </w:t>
      </w:r>
      <w:r>
        <w:t>= (</w:t>
      </w:r>
      <w:r>
        <w:rPr>
          <w:i/>
        </w:rPr>
        <w:t>z</w:t>
      </w:r>
      <w:r>
        <w:rPr>
          <w:vertAlign w:val="subscript"/>
        </w:rPr>
        <w:t>1</w:t>
      </w:r>
      <w:r>
        <w:rPr>
          <w:i/>
        </w:rPr>
        <w:t>,...,z</w:t>
      </w:r>
      <w:r>
        <w:rPr>
          <w:i/>
          <w:vertAlign w:val="subscript"/>
        </w:rPr>
        <w:t>n</w:t>
      </w:r>
      <w:r>
        <w:t>)</w:t>
      </w:r>
      <w:r>
        <w:rPr>
          <w:vertAlign w:val="superscript"/>
        </w:rPr>
        <w:footnoteReference w:id="4"/>
      </w:r>
      <w:r>
        <w:t xml:space="preserve">. El decodificador a su vez, toma </w:t>
      </w:r>
      <w:r>
        <w:rPr>
          <w:i/>
        </w:rPr>
        <w:t xml:space="preserve">z </w:t>
      </w:r>
      <w:r>
        <w:t>y genera una secuencia de s´ımbolos (</w:t>
      </w:r>
      <w:r>
        <w:rPr>
          <w:i/>
        </w:rPr>
        <w:t>y</w:t>
      </w:r>
      <w:r>
        <w:rPr>
          <w:vertAlign w:val="subscript"/>
        </w:rPr>
        <w:t>1</w:t>
      </w:r>
      <w:r>
        <w:rPr>
          <w:i/>
        </w:rPr>
        <w:t>,...,y</w:t>
      </w:r>
      <w:r>
        <w:rPr>
          <w:i/>
          <w:vertAlign w:val="subscript"/>
        </w:rPr>
        <w:t>m</w:t>
      </w:r>
      <w:r>
        <w:t xml:space="preserve">) un s´ımbolo a la vez. Agregando a lo anterior, el modelo es auto-regresivo en cada paso, en otras palabras el modelo usa de input el s´ımbolo generado anteriormente para generar el siguiente s´ımbolo. Como se ve en la Fig. 1 del art´ıculo de (Vaswani et </w:t>
      </w:r>
      <w:r>
        <w:t>al., 2017), lo anterior se traduce en en m´odulos de “Atenci</w:t>
      </w:r>
      <w:r w:rsidR="00913457">
        <w:t>ó</w:t>
      </w:r>
      <w:r>
        <w:t>n Multi-Cabezal”, de “Atenci</w:t>
      </w:r>
      <w:r w:rsidR="00913457">
        <w:t>ó</w:t>
      </w:r>
      <w:r>
        <w:t>n Multi-Cabezal Enm</w:t>
      </w:r>
      <w:r w:rsidR="00913457">
        <w:t>á</w:t>
      </w:r>
      <w:r>
        <w:t xml:space="preserve">scarada”, de “Retroalimentaci´on” y por </w:t>
      </w:r>
      <w:r w:rsidR="00913457">
        <w:t>ú</w:t>
      </w:r>
      <w:r>
        <w:t>ltimo de “Softmax”. De estos, el de mayor inter´es es el de Atenci</w:t>
      </w:r>
      <w:r w:rsidR="00913457">
        <w:t>ó</w:t>
      </w:r>
      <w:r>
        <w:t>n Multi-Cabezal, este puede verse</w:t>
      </w:r>
      <w:r>
        <w:t xml:space="preserve"> como una funci</w:t>
      </w:r>
      <w:r w:rsidR="00913457">
        <w:t>ó</w:t>
      </w:r>
      <w:r>
        <w:t>n que mapea una consulta y un conjunto de pares llave-valor a una salida, donde la consulta, las llaves y los valores son vectores. En este m´odulo es donde aparecen grandes mejoras, ya que este modulo es altamente paralelizable, lo que se</w:t>
      </w:r>
      <w:r>
        <w:t xml:space="preserve"> traduce a una reducci´on importante de la cantidad de horas que se necesitan para entrenar el modelo completo.</w:t>
      </w:r>
    </w:p>
    <w:p w14:paraId="0DB36440" w14:textId="183E0499" w:rsidR="00C87D94" w:rsidRDefault="00FD3D52">
      <w:pPr>
        <w:spacing w:after="649" w:line="297" w:lineRule="auto"/>
        <w:ind w:left="-5" w:hanging="10"/>
        <w:jc w:val="left"/>
      </w:pPr>
      <w:r>
        <w:rPr>
          <w:b/>
          <w:sz w:val="29"/>
        </w:rPr>
        <w:t>GAN Biling</w:t>
      </w:r>
      <w:r w:rsidR="00913457">
        <w:rPr>
          <w:b/>
          <w:sz w:val="29"/>
        </w:rPr>
        <w:t>ü</w:t>
      </w:r>
      <w:r>
        <w:rPr>
          <w:b/>
          <w:sz w:val="29"/>
        </w:rPr>
        <w:t>e, arquitectura de Rashid et al. (2019)</w:t>
      </w:r>
    </w:p>
    <w:p w14:paraId="3619AC83" w14:textId="77777777" w:rsidR="00C87D94" w:rsidRDefault="00FD3D52">
      <w:pPr>
        <w:pStyle w:val="Heading1"/>
        <w:spacing w:after="519"/>
        <w:ind w:left="-5"/>
      </w:pPr>
      <w:r>
        <w:lastRenderedPageBreak/>
        <w:t>Figuras</w:t>
      </w:r>
    </w:p>
    <w:p w14:paraId="11FBFF73" w14:textId="77777777" w:rsidR="00C87D94" w:rsidRDefault="00FD3D52">
      <w:pPr>
        <w:spacing w:after="0" w:line="259" w:lineRule="auto"/>
        <w:ind w:left="0" w:firstLine="0"/>
        <w:jc w:val="center"/>
      </w:pPr>
      <w:r>
        <w:t>Figura 1: Fig. 1 del art´ıculo de (Vaswani et al., 2017)</w:t>
      </w:r>
    </w:p>
    <w:p w14:paraId="0B839ACC" w14:textId="77777777" w:rsidR="00C87D94" w:rsidRDefault="00FD3D52">
      <w:pPr>
        <w:spacing w:after="888" w:line="259" w:lineRule="auto"/>
        <w:ind w:left="2301" w:firstLine="0"/>
        <w:jc w:val="left"/>
      </w:pPr>
      <w:r>
        <w:rPr>
          <w:noProof/>
        </w:rPr>
        <w:drawing>
          <wp:inline distT="0" distB="0" distL="0" distR="0" wp14:anchorId="085B223E" wp14:editId="2B3D5AD9">
            <wp:extent cx="2971851" cy="437761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51" cy="43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4A8B" w14:textId="77777777" w:rsidR="00C87D94" w:rsidRDefault="00FD3D52">
      <w:pPr>
        <w:pStyle w:val="Heading1"/>
        <w:spacing w:after="486"/>
        <w:ind w:left="-5"/>
      </w:pPr>
      <w:r>
        <w:t>Referencias</w:t>
      </w:r>
    </w:p>
    <w:p w14:paraId="01F68673" w14:textId="77777777" w:rsidR="00C87D94" w:rsidRDefault="00FD3D52">
      <w:pPr>
        <w:spacing w:after="1" w:line="379" w:lineRule="auto"/>
        <w:ind w:left="585" w:hanging="585"/>
      </w:pPr>
      <w:r>
        <w:t xml:space="preserve">Artetxe, M., Labaka, G., y Agirre, E. (2018). </w:t>
      </w:r>
      <w:r>
        <w:rPr>
          <w:i/>
        </w:rPr>
        <w:t xml:space="preserve">A robust self-learning method for fully unsupervised cross-lingual mappings of word embeddings. </w:t>
      </w:r>
      <w:r>
        <w:t xml:space="preserve">Descargado de </w:t>
      </w:r>
      <w:hyperlink r:id="rId8">
        <w:r>
          <w:rPr>
            <w:rFonts w:ascii="Calibri" w:eastAsia="Calibri" w:hAnsi="Calibri" w:cs="Calibri"/>
          </w:rPr>
          <w:t xml:space="preserve">https://arxiv.org/ </w:t>
        </w:r>
      </w:hyperlink>
      <w:hyperlink r:id="rId9">
        <w:r>
          <w:rPr>
            <w:rFonts w:ascii="Calibri" w:eastAsia="Calibri" w:hAnsi="Calibri" w:cs="Calibri"/>
          </w:rPr>
          <w:t>abs/1805.06297</w:t>
        </w:r>
      </w:hyperlink>
    </w:p>
    <w:p w14:paraId="699095FC" w14:textId="77777777" w:rsidR="00C87D94" w:rsidRDefault="00FD3D52">
      <w:pPr>
        <w:spacing w:after="129"/>
        <w:ind w:left="570" w:hanging="585"/>
      </w:pPr>
      <w:r>
        <w:t xml:space="preserve">Rashid, A., Do-Omri, A., Haidar, M. A., Liu, Q., y Rezagholizadeh, M. (2019). </w:t>
      </w:r>
      <w:r>
        <w:rPr>
          <w:i/>
        </w:rPr>
        <w:t xml:space="preserve">Bilingualgan: A step towards parallel text generation. </w:t>
      </w:r>
      <w:r>
        <w:t xml:space="preserve">Descargado de </w:t>
      </w:r>
      <w:hyperlink r:id="rId10">
        <w:r>
          <w:rPr>
            <w:rFonts w:ascii="Calibri" w:eastAsia="Calibri" w:hAnsi="Calibri" w:cs="Calibri"/>
          </w:rPr>
          <w:t>https://arxiv.org/a</w:t>
        </w:r>
        <w:r>
          <w:rPr>
            <w:rFonts w:ascii="Calibri" w:eastAsia="Calibri" w:hAnsi="Calibri" w:cs="Calibri"/>
          </w:rPr>
          <w:t xml:space="preserve">bs/ </w:t>
        </w:r>
      </w:hyperlink>
      <w:hyperlink r:id="rId11">
        <w:r>
          <w:rPr>
            <w:rFonts w:ascii="Calibri" w:eastAsia="Calibri" w:hAnsi="Calibri" w:cs="Calibri"/>
          </w:rPr>
          <w:t>1904.04742</w:t>
        </w:r>
      </w:hyperlink>
    </w:p>
    <w:p w14:paraId="6AD6C4D4" w14:textId="77777777" w:rsidR="00C87D94" w:rsidRDefault="00FD3D52">
      <w:pPr>
        <w:ind w:left="570" w:hanging="585"/>
      </w:pPr>
      <w:r>
        <w:lastRenderedPageBreak/>
        <w:t xml:space="preserve">Sultana, F., Sufian, A., y Dutta, P. (2019). Advancements in image classification using convolutional neural network. </w:t>
      </w:r>
      <w:r>
        <w:rPr>
          <w:i/>
        </w:rPr>
        <w:t>CoRR</w:t>
      </w:r>
      <w:r>
        <w:t xml:space="preserve">, </w:t>
      </w:r>
      <w:r>
        <w:rPr>
          <w:i/>
        </w:rPr>
        <w:t>abs/1905.03288</w:t>
      </w:r>
      <w:r>
        <w:t xml:space="preserve">. Descargado de </w:t>
      </w:r>
      <w:hyperlink r:id="rId12">
        <w:r>
          <w:rPr>
            <w:rFonts w:ascii="Calibri" w:eastAsia="Calibri" w:hAnsi="Calibri" w:cs="Calibri"/>
          </w:rPr>
          <w:t>http://arxiv</w:t>
        </w:r>
      </w:hyperlink>
    </w:p>
    <w:p w14:paraId="4C49F984" w14:textId="77777777" w:rsidR="00C87D94" w:rsidRDefault="00FD3D52">
      <w:pPr>
        <w:spacing w:after="147" w:line="259" w:lineRule="auto"/>
        <w:ind w:left="580" w:hanging="10"/>
      </w:pPr>
      <w:hyperlink r:id="rId13">
        <w:r>
          <w:rPr>
            <w:rFonts w:ascii="Calibri" w:eastAsia="Calibri" w:hAnsi="Calibri" w:cs="Calibri"/>
          </w:rPr>
          <w:t>.org/abs/1905.03288</w:t>
        </w:r>
      </w:hyperlink>
    </w:p>
    <w:p w14:paraId="4CF62A93" w14:textId="77777777" w:rsidR="00C87D94" w:rsidRDefault="00FD3D52">
      <w:pPr>
        <w:spacing w:line="381" w:lineRule="auto"/>
        <w:ind w:left="585" w:hanging="585"/>
      </w:pPr>
      <w:r>
        <w:t xml:space="preserve">Turovsky, B. (2016). </w:t>
      </w:r>
      <w:r>
        <w:rPr>
          <w:i/>
        </w:rPr>
        <w:t xml:space="preserve">Found in translation: More accurate, fluent sentences in google translate. </w:t>
      </w:r>
      <w:r>
        <w:t xml:space="preserve">Descargado 2020-01-17, de </w:t>
      </w:r>
      <w:hyperlink r:id="rId14">
        <w:r>
          <w:rPr>
            <w:rFonts w:ascii="Calibri" w:eastAsia="Calibri" w:hAnsi="Calibri" w:cs="Calibri"/>
          </w:rPr>
          <w:t xml:space="preserve">https://blog.google/products/translate/ </w:t>
        </w:r>
      </w:hyperlink>
      <w:hyperlink r:id="rId15">
        <w:r>
          <w:rPr>
            <w:rFonts w:ascii="Calibri" w:eastAsia="Calibri" w:hAnsi="Calibri" w:cs="Calibri"/>
          </w:rPr>
          <w:t>found-translation-more-accurate-fluent-sentences-google-translate/</w:t>
        </w:r>
      </w:hyperlink>
    </w:p>
    <w:p w14:paraId="1ACC1947" w14:textId="77777777" w:rsidR="00C87D94" w:rsidRDefault="00FD3D52">
      <w:pPr>
        <w:ind w:left="570" w:hanging="585"/>
      </w:pPr>
      <w:r>
        <w:t xml:space="preserve">Vaswani, A., Shazeer, N., Parmar, N., Uszkoreit, J., Jones, L., Gomez, A. N., ... Polosukhin, I. (2017). </w:t>
      </w:r>
      <w:r>
        <w:rPr>
          <w:i/>
        </w:rPr>
        <w:t xml:space="preserve">Attention is all you need. </w:t>
      </w:r>
      <w:r>
        <w:t xml:space="preserve">Descargado de </w:t>
      </w:r>
      <w:hyperlink r:id="rId16">
        <w:r>
          <w:rPr>
            <w:rFonts w:ascii="Calibri" w:eastAsia="Calibri" w:hAnsi="Calibri" w:cs="Calibri"/>
          </w:rPr>
          <w:t>https://arxiv.org/abs/1706</w:t>
        </w:r>
      </w:hyperlink>
    </w:p>
    <w:p w14:paraId="22F28466" w14:textId="77777777" w:rsidR="00C87D94" w:rsidRDefault="00FD3D52">
      <w:pPr>
        <w:spacing w:line="259" w:lineRule="auto"/>
        <w:ind w:left="580" w:hanging="10"/>
      </w:pPr>
      <w:hyperlink r:id="rId17">
        <w:r>
          <w:rPr>
            <w:rFonts w:ascii="Calibri" w:eastAsia="Calibri" w:hAnsi="Calibri" w:cs="Calibri"/>
          </w:rPr>
          <w:t>.03762</w:t>
        </w:r>
      </w:hyperlink>
    </w:p>
    <w:sectPr w:rsidR="00C87D94">
      <w:footerReference w:type="even" r:id="rId18"/>
      <w:footerReference w:type="default" r:id="rId19"/>
      <w:footerReference w:type="first" r:id="rId20"/>
      <w:pgSz w:w="12240" w:h="15840"/>
      <w:pgMar w:top="1480" w:right="1440" w:bottom="139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28EC4" w14:textId="77777777" w:rsidR="00FD3D52" w:rsidRDefault="00FD3D52">
      <w:pPr>
        <w:spacing w:after="0" w:line="240" w:lineRule="auto"/>
      </w:pPr>
      <w:r>
        <w:separator/>
      </w:r>
    </w:p>
  </w:endnote>
  <w:endnote w:type="continuationSeparator" w:id="0">
    <w:p w14:paraId="01A9124D" w14:textId="77777777" w:rsidR="00FD3D52" w:rsidRDefault="00FD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670C" w14:textId="77777777" w:rsidR="00C87D94" w:rsidRDefault="00FD3D5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DD6FC" w14:textId="77777777" w:rsidR="00C87D94" w:rsidRDefault="00FD3D5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7A92" w14:textId="77777777" w:rsidR="00C87D94" w:rsidRDefault="00C87D9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2753C" w14:textId="77777777" w:rsidR="00FD3D52" w:rsidRDefault="00FD3D52">
      <w:pPr>
        <w:spacing w:after="17" w:line="259" w:lineRule="auto"/>
        <w:ind w:left="269" w:firstLine="0"/>
        <w:jc w:val="left"/>
      </w:pPr>
      <w:r>
        <w:separator/>
      </w:r>
    </w:p>
  </w:footnote>
  <w:footnote w:type="continuationSeparator" w:id="0">
    <w:p w14:paraId="079A211B" w14:textId="77777777" w:rsidR="00FD3D52" w:rsidRDefault="00FD3D52">
      <w:pPr>
        <w:spacing w:after="17" w:line="259" w:lineRule="auto"/>
        <w:ind w:left="269" w:firstLine="0"/>
        <w:jc w:val="left"/>
      </w:pPr>
      <w:r>
        <w:continuationSeparator/>
      </w:r>
    </w:p>
  </w:footnote>
  <w:footnote w:id="1">
    <w:p w14:paraId="3ECD0E56" w14:textId="77777777" w:rsidR="00C87D94" w:rsidRDefault="00FD3D52">
      <w:pPr>
        <w:pStyle w:val="footnotedescription"/>
        <w:spacing w:after="17"/>
      </w:pPr>
      <w:r>
        <w:rPr>
          <w:rStyle w:val="footnotemark"/>
        </w:rPr>
        <w:footnoteRef/>
      </w:r>
      <w:r>
        <w:t xml:space="preserve"> </w:t>
      </w:r>
      <w:r>
        <w:t>La tecnolog´ıa detr´as del “Machine Learning”</w:t>
      </w:r>
    </w:p>
  </w:footnote>
  <w:footnote w:id="2">
    <w:p w14:paraId="5BABCE22" w14:textId="77777777" w:rsidR="00C87D94" w:rsidRDefault="00FD3D52">
      <w:pPr>
        <w:pStyle w:val="footnotedescription"/>
        <w:spacing w:after="17"/>
      </w:pPr>
      <w:r>
        <w:rPr>
          <w:rStyle w:val="footnotemark"/>
        </w:rPr>
        <w:footnoteRef/>
      </w:r>
      <w:r>
        <w:t xml:space="preserve"> </w:t>
      </w:r>
      <w:r>
        <w:t>El problema de procesamiento de lenguaje natural (NLP).</w:t>
      </w:r>
    </w:p>
  </w:footnote>
  <w:footnote w:id="3">
    <w:p w14:paraId="690FE6D6" w14:textId="77777777" w:rsidR="00C87D94" w:rsidRDefault="00FD3D52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t>i.e, uno de los problemas asociados al problema de traducci´on</w:t>
      </w:r>
    </w:p>
  </w:footnote>
  <w:footnote w:id="4">
    <w:p w14:paraId="22177C95" w14:textId="77777777" w:rsidR="00C87D94" w:rsidRDefault="00FD3D52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t xml:space="preserve">i.e., es un punto en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94"/>
    <w:rsid w:val="00913457"/>
    <w:rsid w:val="00C87D94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A8BB3"/>
  <w15:docId w15:val="{A7200B1B-F958-4B4B-8B17-56E2F086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84" w:lineRule="auto"/>
      <w:ind w:left="3175" w:firstLine="458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4" w:line="265" w:lineRule="auto"/>
      <w:ind w:left="3702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jc w:val="right"/>
      <w:outlineLvl w:val="1"/>
    </w:pPr>
    <w:rPr>
      <w:rFonts w:ascii="Cambria" w:eastAsia="Cambria" w:hAnsi="Cambria" w:cs="Cambria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54" w:line="297" w:lineRule="auto"/>
      <w:ind w:left="10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8" w:line="259" w:lineRule="auto"/>
      <w:ind w:left="269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06297" TargetMode="External"/><Relationship Id="rId13" Type="http://schemas.openxmlformats.org/officeDocument/2006/relationships/hyperlink" Target="http://arxiv.org/abs/1905.03288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rxiv.org/abs/1905.03288" TargetMode="External"/><Relationship Id="rId17" Type="http://schemas.openxmlformats.org/officeDocument/2006/relationships/hyperlink" Target="https://arxiv.org/abs/1706.037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1706.03762" TargetMode="Externa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arxiv.org/abs/1904.0474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google/products/translate/found-translation-more-accurate-fluent-sentences-google-translate/" TargetMode="External"/><Relationship Id="rId10" Type="http://schemas.openxmlformats.org/officeDocument/2006/relationships/hyperlink" Target="https://arxiv.org/abs/1904.04742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arxiv.org/abs/1805.06297" TargetMode="External"/><Relationship Id="rId14" Type="http://schemas.openxmlformats.org/officeDocument/2006/relationships/hyperlink" Target="https://blog.google/products/translate/found-translation-more-accurate-fluent-sentences-google-translat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 Donnell</dc:creator>
  <cp:keywords/>
  <cp:lastModifiedBy>Nicholas Mc Donnell</cp:lastModifiedBy>
  <cp:revision>2</cp:revision>
  <dcterms:created xsi:type="dcterms:W3CDTF">2020-01-17T21:58:00Z</dcterms:created>
  <dcterms:modified xsi:type="dcterms:W3CDTF">2020-01-17T21:58:00Z</dcterms:modified>
</cp:coreProperties>
</file>