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jc w:val="center"/>
        <w:rPr>
          <w:rFonts w:eastAsia="ＭＳ ゴシック" w:cs="Calibri" w:cstheme="minorHAnsi" w:eastAsiaTheme="majorEastAsia"/>
          <w:caps/>
          <w:color w:val="099BDD"/>
          <w:lang w:eastAsia="ja-JP"/>
        </w:rPr>
      </w:pPr>
      <w:r>
        <mc:AlternateContent>
          <mc:Choice Requires="wps">
            <w:drawing>
              <wp:anchor behindDoc="1" distT="45720" distB="45720" distL="114300" distR="114300" simplePos="0" locked="0" layoutInCell="1" allowOverlap="1" relativeHeight="2" wp14:anchorId="6C3A7EF8">
                <wp:simplePos x="0" y="0"/>
                <wp:positionH relativeFrom="margin">
                  <wp:posOffset>89535</wp:posOffset>
                </wp:positionH>
                <wp:positionV relativeFrom="paragraph">
                  <wp:posOffset>315595</wp:posOffset>
                </wp:positionV>
                <wp:extent cx="5967095" cy="8275955"/>
                <wp:effectExtent l="0" t="0" r="15875" b="12065"/>
                <wp:wrapTight wrapText="bothSides">
                  <wp:wrapPolygon edited="0">
                    <wp:start x="0" y="0"/>
                    <wp:lineTo x="0" y="21582"/>
                    <wp:lineTo x="21589" y="21582"/>
                    <wp:lineTo x="21589" y="0"/>
                    <wp:lineTo x="0" y="0"/>
                  </wp:wrapPolygon>
                </wp:wrapTight>
                <wp:docPr id="1" name="Text Box 2"/>
                <a:graphic xmlns:a="http://schemas.openxmlformats.org/drawingml/2006/main">
                  <a:graphicData uri="http://schemas.microsoft.com/office/word/2010/wordprocessingShape">
                    <wps:wsp>
                      <wps:cNvSpPr/>
                      <wps:spPr>
                        <a:xfrm>
                          <a:off x="0" y="0"/>
                          <a:ext cx="5966640" cy="8275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numPr>
                                <w:ilvl w:val="0"/>
                                <w:numId w:val="0"/>
                              </w:numPr>
                              <w:pBdr>
                                <w:top w:val="single" w:sz="24" w:space="0" w:color="C9ECFC"/>
                                <w:left w:val="single" w:sz="24" w:space="0" w:color="C9ECFC"/>
                                <w:bottom w:val="single" w:sz="24" w:space="0" w:color="C9ECFC"/>
                                <w:right w:val="single" w:sz="24" w:space="0" w:color="C9ECFC"/>
                              </w:pBdr>
                              <w:shd w:val="clear" w:color="auto" w:fill="C9ECFC"/>
                              <w:spacing w:lineRule="auto" w:line="264" w:before="120" w:after="0"/>
                              <w:outlineLvl w:val="1"/>
                              <w:rPr>
                                <w:rFonts w:ascii="Corbel" w:hAnsi="Corbel" w:eastAsia="SimSun" w:cs="Tahoma"/>
                                <w:caps/>
                                <w:spacing w:val="15"/>
                                <w:sz w:val="22"/>
                                <w:szCs w:val="22"/>
                                <w:lang w:eastAsia="ja-JP"/>
                              </w:rPr>
                            </w:pPr>
                            <w:r>
                              <w:rPr>
                                <w:rFonts w:eastAsia="SimSun" w:cs="Tahoma" w:ascii="Corbel" w:hAnsi="Corbel"/>
                                <w:caps/>
                                <w:spacing w:val="15"/>
                                <w:sz w:val="22"/>
                                <w:szCs w:val="22"/>
                                <w:lang w:eastAsia="ja-JP"/>
                              </w:rPr>
                              <w:t xml:space="preserve">UNICEF Priority AreaS </w:t>
                            </w:r>
                            <w:r>
                              <w:rPr>
                                <w:rFonts w:eastAsia="SimSun" w:cs="Tahoma" w:ascii="Corbel" w:hAnsi="Corbel"/>
                                <w:caps/>
                                <w:spacing w:val="15"/>
                              </w:rPr>
                              <w:t>by objective</w:t>
                            </w:r>
                          </w:p>
                          <w:p>
                            <w:pPr>
                              <w:pStyle w:val="FrameContents"/>
                              <w:spacing w:lineRule="auto" w:line="264" w:before="120" w:after="200"/>
                              <w:rPr>
                                <w:rFonts w:eastAsia="SimSun" w:cs="Calibri" w:cstheme="minorHAnsi"/>
                                <w:b/>
                                <w:b/>
                                <w:sz w:val="20"/>
                                <w:szCs w:val="20"/>
                                <w:u w:val="single"/>
                                <w:lang w:eastAsia="ja-JP"/>
                              </w:rPr>
                            </w:pPr>
                            <w:r>
                              <w:rPr>
                                <w:rFonts w:eastAsia="SimSun" w:cs="Calibri" w:cstheme="minorHAnsi"/>
                                <w:b/>
                                <w:sz w:val="20"/>
                                <w:szCs w:val="20"/>
                                <w:u w:val="single"/>
                              </w:rPr>
                              <w:t>1. Enhance preparedness and country capacity</w:t>
                            </w:r>
                          </w:p>
                          <w:p>
                            <w:pPr>
                              <w:pStyle w:val="ListParagraph"/>
                              <w:numPr>
                                <w:ilvl w:val="0"/>
                                <w:numId w:val="2"/>
                              </w:numPr>
                              <w:spacing w:before="0" w:after="0"/>
                              <w:contextualSpacing/>
                              <w:jc w:val="both"/>
                              <w:rPr>
                                <w:rFonts w:cs="Calibri" w:cstheme="minorHAnsi"/>
                                <w:i/>
                                <w:i/>
                                <w:sz w:val="20"/>
                                <w:szCs w:val="20"/>
                              </w:rPr>
                            </w:pPr>
                            <w:r>
                              <w:rPr>
                                <w:rFonts w:cs="Calibri" w:cstheme="minorHAnsi"/>
                                <w:sz w:val="20"/>
                                <w:szCs w:val="20"/>
                              </w:rPr>
                              <w:t>Multi-sectoral and scenario-based national preparedness and response planning</w:t>
                            </w:r>
                          </w:p>
                          <w:p>
                            <w:pPr>
                              <w:pStyle w:val="ListParagraph"/>
                              <w:numPr>
                                <w:ilvl w:val="0"/>
                                <w:numId w:val="2"/>
                              </w:numPr>
                              <w:spacing w:before="0" w:after="0"/>
                              <w:contextualSpacing/>
                              <w:jc w:val="both"/>
                              <w:rPr/>
                            </w:pPr>
                            <w:r>
                              <w:rPr>
                                <w:rFonts w:cs="Calibri" w:cstheme="minorHAnsi"/>
                                <w:sz w:val="20"/>
                                <w:szCs w:val="20"/>
                              </w:rPr>
                              <w:t xml:space="preserve">Training and guidance </w:t>
                            </w:r>
                          </w:p>
                          <w:p>
                            <w:pPr>
                              <w:pStyle w:val="FrameContents"/>
                              <w:jc w:val="both"/>
                              <w:rPr>
                                <w:rFonts w:cs="Calibri" w:cstheme="minorHAnsi"/>
                                <w:i/>
                                <w:i/>
                                <w:sz w:val="20"/>
                                <w:szCs w:val="20"/>
                              </w:rPr>
                            </w:pPr>
                            <w:r>
                              <w:rPr>
                                <w:rFonts w:cs="Calibri" w:cstheme="minorHAnsi"/>
                                <w:i/>
                                <w:sz w:val="20"/>
                                <w:szCs w:val="20"/>
                              </w:rPr>
                            </w:r>
                          </w:p>
                          <w:p>
                            <w:pPr>
                              <w:pStyle w:val="FrameContents"/>
                              <w:jc w:val="both"/>
                              <w:rPr>
                                <w:rFonts w:cs="Calibri" w:cstheme="minorHAnsi"/>
                                <w:b/>
                                <w:b/>
                                <w:sz w:val="20"/>
                                <w:szCs w:val="20"/>
                                <w:u w:val="single"/>
                              </w:rPr>
                            </w:pPr>
                            <w:r>
                              <w:rPr>
                                <w:rFonts w:cs="Calibri" w:cstheme="minorHAnsi"/>
                                <w:b/>
                                <w:sz w:val="20"/>
                                <w:szCs w:val="20"/>
                                <w:u w:val="single"/>
                              </w:rPr>
                              <w:t>2. Support partner coordination at the country level</w:t>
                            </w:r>
                          </w:p>
                          <w:p>
                            <w:pPr>
                              <w:pStyle w:val="ListParagraph"/>
                              <w:numPr>
                                <w:ilvl w:val="0"/>
                                <w:numId w:val="2"/>
                              </w:numPr>
                              <w:spacing w:before="120" w:after="200"/>
                              <w:contextualSpacing/>
                              <w:jc w:val="both"/>
                              <w:rPr>
                                <w:rFonts w:cs="Calibri" w:cstheme="minorHAnsi"/>
                                <w:sz w:val="20"/>
                                <w:szCs w:val="20"/>
                              </w:rPr>
                            </w:pPr>
                            <w:r>
                              <w:rPr>
                                <w:rFonts w:cs="Calibri" w:cstheme="minorHAnsi"/>
                                <w:b/>
                                <w:sz w:val="20"/>
                                <w:szCs w:val="20"/>
                              </w:rPr>
                              <w:t>Multi-sectoral coordination</w:t>
                            </w:r>
                            <w:r>
                              <w:rPr>
                                <w:rFonts w:cs="Calibri" w:cstheme="minorHAnsi"/>
                                <w:sz w:val="20"/>
                                <w:szCs w:val="20"/>
                              </w:rPr>
                              <w:t xml:space="preserve"> with relevant national authorities (ministries of health, agriculture, public works, environment, social protection, education, etc.), WHO and key stakeholders at national, district and local levels</w:t>
                            </w:r>
                          </w:p>
                          <w:p>
                            <w:pPr>
                              <w:pStyle w:val="FrameContents"/>
                              <w:spacing w:lineRule="auto" w:line="264" w:before="120" w:after="200"/>
                              <w:contextualSpacing/>
                              <w:jc w:val="both"/>
                              <w:rPr>
                                <w:rFonts w:cs="Calibri" w:cstheme="minorHAnsi"/>
                                <w:b/>
                                <w:b/>
                                <w:sz w:val="20"/>
                                <w:szCs w:val="20"/>
                                <w:u w:val="single"/>
                              </w:rPr>
                            </w:pPr>
                            <w:r>
                              <w:rPr>
                                <w:rFonts w:cs="Calibri" w:cstheme="minorHAnsi"/>
                                <w:b/>
                                <w:sz w:val="20"/>
                                <w:szCs w:val="20"/>
                                <w:u w:val="single"/>
                              </w:rPr>
                              <w:t>3. Limit human-to-human transmission and protect individuals from exposure to nCoV</w:t>
                            </w:r>
                          </w:p>
                          <w:p>
                            <w:pPr>
                              <w:pStyle w:val="ListParagraph"/>
                              <w:numPr>
                                <w:ilvl w:val="0"/>
                                <w:numId w:val="2"/>
                              </w:numPr>
                              <w:spacing w:before="120" w:after="200"/>
                              <w:contextualSpacing/>
                              <w:jc w:val="both"/>
                              <w:rPr>
                                <w:rFonts w:cs="Calibri" w:cstheme="minorHAnsi"/>
                                <w:sz w:val="20"/>
                                <w:szCs w:val="20"/>
                              </w:rPr>
                            </w:pPr>
                            <w:r>
                              <w:rPr>
                                <w:rFonts w:cs="Calibri" w:cstheme="minorHAnsi"/>
                                <w:b/>
                                <w:sz w:val="20"/>
                                <w:szCs w:val="20"/>
                              </w:rPr>
                              <w:t>Risk communication and community engagement</w:t>
                            </w:r>
                            <w:r>
                              <w:rPr>
                                <w:rFonts w:cs="Calibri" w:cstheme="minorHAnsi"/>
                                <w:sz w:val="20"/>
                                <w:szCs w:val="20"/>
                              </w:rPr>
                              <w:t xml:space="preserve"> (RCCE) to inform decision making related to personal risk, mitigate rumors, share information and advice between experts, communities and officials, and to effectively involve communities in the response to control the outbreak</w:t>
                            </w:r>
                          </w:p>
                          <w:p>
                            <w:pPr>
                              <w:pStyle w:val="ListParagraph"/>
                              <w:numPr>
                                <w:ilvl w:val="0"/>
                                <w:numId w:val="2"/>
                              </w:numPr>
                              <w:spacing w:before="120" w:after="200"/>
                              <w:contextualSpacing/>
                              <w:jc w:val="both"/>
                              <w:rPr>
                                <w:rFonts w:cs="Calibri" w:cstheme="minorHAnsi"/>
                                <w:b/>
                                <w:b/>
                                <w:sz w:val="20"/>
                                <w:szCs w:val="20"/>
                              </w:rPr>
                            </w:pPr>
                            <w:r>
                              <w:rPr>
                                <w:rFonts w:cs="Calibri" w:cstheme="minorHAnsi"/>
                                <w:b/>
                                <w:sz w:val="20"/>
                                <w:szCs w:val="20"/>
                              </w:rPr>
                              <w:t xml:space="preserve">Social sciences analysis </w:t>
                            </w:r>
                          </w:p>
                          <w:p>
                            <w:pPr>
                              <w:pStyle w:val="ListParagraph"/>
                              <w:numPr>
                                <w:ilvl w:val="0"/>
                                <w:numId w:val="2"/>
                              </w:numPr>
                              <w:spacing w:before="120" w:after="200"/>
                              <w:contextualSpacing/>
                              <w:jc w:val="both"/>
                              <w:rPr>
                                <w:rFonts w:cs="Calibri" w:cstheme="minorHAnsi"/>
                                <w:sz w:val="20"/>
                                <w:szCs w:val="20"/>
                              </w:rPr>
                            </w:pPr>
                            <w:r>
                              <w:rPr>
                                <w:rFonts w:cs="Calibri" w:cstheme="minorHAnsi"/>
                                <w:b/>
                                <w:color w:val="000000" w:themeColor="text1"/>
                                <w:sz w:val="20"/>
                                <w:szCs w:val="20"/>
                              </w:rPr>
                              <w:t>Infection prevention and control</w:t>
                            </w:r>
                            <w:r>
                              <w:rPr>
                                <w:rFonts w:cs="Calibri" w:cstheme="minorHAnsi"/>
                                <w:color w:val="000000" w:themeColor="text1"/>
                                <w:sz w:val="20"/>
                                <w:szCs w:val="20"/>
                              </w:rPr>
                              <w:t xml:space="preserve"> </w:t>
                            </w:r>
                            <w:r>
                              <w:rPr>
                                <w:rFonts w:cs="Calibri" w:cstheme="minorHAnsi"/>
                                <w:sz w:val="20"/>
                                <w:szCs w:val="20"/>
                              </w:rPr>
                              <w:t xml:space="preserve">(IPC) in health facilities, schools and communities through Health, WASH, RCCE and Education programs. </w:t>
                            </w:r>
                            <w:r>
                              <w:rPr>
                                <w:rFonts w:cs="Calibri" w:cstheme="minorHAnsi"/>
                                <w:b/>
                                <w:sz w:val="20"/>
                                <w:szCs w:val="20"/>
                              </w:rPr>
                              <w:t>Reinforce or establish referral systems</w:t>
                            </w:r>
                          </w:p>
                          <w:p>
                            <w:pPr>
                              <w:pStyle w:val="ListParagraph"/>
                              <w:numPr>
                                <w:ilvl w:val="0"/>
                                <w:numId w:val="2"/>
                              </w:numPr>
                              <w:spacing w:before="120" w:after="200"/>
                              <w:contextualSpacing/>
                              <w:jc w:val="both"/>
                              <w:rPr>
                                <w:rFonts w:cs="Calibri" w:cstheme="minorHAnsi"/>
                                <w:sz w:val="20"/>
                                <w:szCs w:val="20"/>
                              </w:rPr>
                            </w:pPr>
                            <w:r>
                              <w:rPr>
                                <w:rFonts w:cs="Calibri" w:cstheme="minorHAnsi"/>
                                <w:sz w:val="20"/>
                                <w:szCs w:val="20"/>
                              </w:rPr>
                              <w:t xml:space="preserve">Novel coronavirus </w:t>
                            </w:r>
                            <w:r>
                              <w:rPr>
                                <w:rFonts w:cs="Calibri" w:cstheme="minorHAnsi"/>
                                <w:b/>
                                <w:sz w:val="20"/>
                                <w:szCs w:val="20"/>
                              </w:rPr>
                              <w:t>education</w:t>
                            </w:r>
                            <w:r>
                              <w:rPr>
                                <w:rFonts w:cs="Calibri" w:cstheme="minorHAnsi"/>
                                <w:sz w:val="20"/>
                                <w:szCs w:val="20"/>
                              </w:rPr>
                              <w:t xml:space="preserve"> </w:t>
                            </w:r>
                            <w:r>
                              <w:rPr>
                                <w:rFonts w:cs="Calibri" w:cstheme="minorHAnsi"/>
                                <w:b/>
                                <w:sz w:val="20"/>
                                <w:szCs w:val="20"/>
                              </w:rPr>
                              <w:t xml:space="preserve">in schools. </w:t>
                            </w:r>
                          </w:p>
                          <w:p>
                            <w:pPr>
                              <w:pStyle w:val="FrameContents"/>
                              <w:spacing w:lineRule="auto" w:line="264" w:before="120" w:after="0"/>
                              <w:jc w:val="both"/>
                              <w:rPr>
                                <w:rFonts w:cs="Calibri" w:cstheme="minorHAnsi"/>
                                <w:b/>
                                <w:b/>
                                <w:sz w:val="20"/>
                                <w:szCs w:val="20"/>
                                <w:u w:val="single"/>
                              </w:rPr>
                            </w:pPr>
                            <w:r>
                              <w:rPr>
                                <w:rFonts w:cs="Calibri" w:cstheme="minorHAnsi"/>
                                <w:b/>
                                <w:sz w:val="20"/>
                                <w:szCs w:val="20"/>
                                <w:u w:val="single"/>
                              </w:rPr>
                              <w:t>4. Minimize morbidity and mortality due to nCoV</w:t>
                            </w:r>
                          </w:p>
                          <w:p>
                            <w:pPr>
                              <w:pStyle w:val="ListParagraph"/>
                              <w:spacing w:before="0" w:after="0"/>
                              <w:ind w:left="360" w:hanging="0"/>
                              <w:contextualSpacing/>
                              <w:jc w:val="both"/>
                              <w:rPr>
                                <w:rFonts w:cs="Calibri" w:cstheme="minorHAnsi"/>
                                <w:sz w:val="20"/>
                                <w:szCs w:val="20"/>
                              </w:rPr>
                            </w:pPr>
                            <w:r>
                              <w:rPr>
                                <w:rFonts w:cs="Calibri" w:cstheme="minorHAnsi"/>
                                <w:sz w:val="20"/>
                                <w:szCs w:val="20"/>
                              </w:rPr>
                            </w:r>
                          </w:p>
                          <w:p>
                            <w:pPr>
                              <w:pStyle w:val="ListParagraph"/>
                              <w:numPr>
                                <w:ilvl w:val="0"/>
                                <w:numId w:val="2"/>
                              </w:numPr>
                              <w:spacing w:before="0" w:after="0"/>
                              <w:contextualSpacing/>
                              <w:jc w:val="both"/>
                              <w:rPr>
                                <w:rFonts w:cs="Calibri" w:cstheme="minorHAnsi"/>
                                <w:sz w:val="20"/>
                                <w:szCs w:val="20"/>
                              </w:rPr>
                            </w:pPr>
                            <w:r>
                              <w:rPr>
                                <w:rFonts w:eastAsia="SimSun" w:cs="Calibri" w:cstheme="minorHAnsi"/>
                                <w:b/>
                                <w:color w:val="000000" w:themeColor="text1"/>
                                <w:sz w:val="20"/>
                                <w:szCs w:val="20"/>
                              </w:rPr>
                              <w:t>Surveillance and early warning system</w:t>
                            </w:r>
                          </w:p>
                          <w:p>
                            <w:pPr>
                              <w:pStyle w:val="ListParagraph"/>
                              <w:numPr>
                                <w:ilvl w:val="0"/>
                                <w:numId w:val="2"/>
                              </w:numPr>
                              <w:spacing w:before="0" w:after="0"/>
                              <w:contextualSpacing/>
                              <w:jc w:val="both"/>
                              <w:rPr>
                                <w:rFonts w:cs="Calibri" w:cstheme="minorHAnsi"/>
                                <w:sz w:val="20"/>
                                <w:szCs w:val="20"/>
                              </w:rPr>
                            </w:pPr>
                            <w:r>
                              <w:rPr>
                                <w:rFonts w:cs="Calibri" w:cstheme="minorHAnsi"/>
                                <w:sz w:val="20"/>
                                <w:szCs w:val="20"/>
                              </w:rPr>
                              <w:t xml:space="preserve">Support to </w:t>
                            </w:r>
                            <w:r>
                              <w:rPr>
                                <w:rFonts w:cs="Calibri" w:cstheme="minorHAnsi"/>
                                <w:b/>
                                <w:sz w:val="20"/>
                                <w:szCs w:val="20"/>
                              </w:rPr>
                              <w:t>case management</w:t>
                            </w:r>
                            <w:r>
                              <w:rPr>
                                <w:rFonts w:cs="Calibri" w:cstheme="minorHAnsi"/>
                                <w:sz w:val="20"/>
                                <w:szCs w:val="20"/>
                              </w:rPr>
                              <w:t xml:space="preserve"> adapted to children and pregnant women</w:t>
                            </w:r>
                            <w:r>
                              <w:rPr>
                                <w:rFonts w:cs="Calibri" w:cstheme="minorHAnsi"/>
                                <w:b/>
                                <w:sz w:val="20"/>
                                <w:szCs w:val="20"/>
                              </w:rPr>
                              <w:t xml:space="preserve"> </w:t>
                            </w:r>
                          </w:p>
                          <w:p>
                            <w:pPr>
                              <w:pStyle w:val="ListParagraph"/>
                              <w:numPr>
                                <w:ilvl w:val="0"/>
                                <w:numId w:val="2"/>
                              </w:numPr>
                              <w:spacing w:before="0" w:after="0"/>
                              <w:contextualSpacing/>
                              <w:jc w:val="both"/>
                              <w:rPr>
                                <w:rFonts w:cs="Calibri" w:cstheme="minorHAnsi"/>
                                <w:sz w:val="20"/>
                                <w:szCs w:val="20"/>
                              </w:rPr>
                            </w:pPr>
                            <w:r>
                              <w:rPr>
                                <w:rFonts w:cs="Calibri" w:cstheme="minorHAnsi"/>
                                <w:sz w:val="20"/>
                                <w:szCs w:val="20"/>
                              </w:rPr>
                              <w:t>Implementation of</w:t>
                            </w:r>
                            <w:r>
                              <w:rPr>
                                <w:rFonts w:cs="Calibri" w:cstheme="minorHAnsi"/>
                                <w:b/>
                                <w:sz w:val="20"/>
                                <w:szCs w:val="20"/>
                              </w:rPr>
                              <w:t xml:space="preserve"> breastfeeding recommendations</w:t>
                            </w:r>
                            <w:r>
                              <w:rPr>
                                <w:rFonts w:cs="Calibri" w:cstheme="minorHAnsi"/>
                                <w:sz w:val="20"/>
                                <w:szCs w:val="20"/>
                              </w:rPr>
                              <w:t>, replacement feeding for infants unable to be breastfed, and nutritional support for patients with nCoV</w:t>
                            </w:r>
                          </w:p>
                          <w:p>
                            <w:pPr>
                              <w:pStyle w:val="FrameContents"/>
                              <w:spacing w:lineRule="auto" w:line="264" w:before="120" w:after="0"/>
                              <w:jc w:val="both"/>
                              <w:rPr>
                                <w:rFonts w:cs="Calibri" w:cstheme="minorHAnsi"/>
                                <w:b/>
                                <w:b/>
                                <w:sz w:val="20"/>
                                <w:szCs w:val="20"/>
                                <w:u w:val="single"/>
                              </w:rPr>
                            </w:pPr>
                            <w:r>
                              <w:rPr>
                                <w:rFonts w:cs="Calibri" w:cstheme="minorHAnsi"/>
                                <w:b/>
                                <w:sz w:val="20"/>
                                <w:szCs w:val="20"/>
                                <w:u w:val="single"/>
                              </w:rPr>
                              <w:t xml:space="preserve">5. Provide appropriate supplies and equipment to control the outbreak and support the health system </w:t>
                            </w:r>
                          </w:p>
                          <w:p>
                            <w:pPr>
                              <w:pStyle w:val="ListParagraph"/>
                              <w:numPr>
                                <w:ilvl w:val="0"/>
                                <w:numId w:val="10"/>
                              </w:numPr>
                              <w:spacing w:lineRule="auto" w:line="264" w:before="120" w:after="0"/>
                              <w:contextualSpacing/>
                              <w:jc w:val="both"/>
                              <w:rPr>
                                <w:rFonts w:cs="Calibri" w:cstheme="minorHAnsi"/>
                                <w:sz w:val="20"/>
                                <w:szCs w:val="20"/>
                              </w:rPr>
                            </w:pPr>
                            <w:r>
                              <w:rPr>
                                <w:rFonts w:cs="Calibri" w:cstheme="minorHAnsi"/>
                                <w:b/>
                                <w:sz w:val="20"/>
                                <w:szCs w:val="20"/>
                              </w:rPr>
                              <w:t>Supply and logistics</w:t>
                            </w:r>
                            <w:r>
                              <w:rPr>
                                <w:rFonts w:cs="Calibri" w:cstheme="minorHAnsi"/>
                                <w:sz w:val="20"/>
                                <w:szCs w:val="20"/>
                              </w:rPr>
                              <w:t xml:space="preserve"> for the provision of nCoV supplies: WASH items, PPE, basic health kits for case management  </w:t>
                            </w:r>
                          </w:p>
                          <w:p>
                            <w:pPr>
                              <w:pStyle w:val="FrameContents"/>
                              <w:spacing w:lineRule="auto" w:line="264" w:before="120" w:after="200"/>
                              <w:contextualSpacing/>
                              <w:jc w:val="both"/>
                              <w:rPr>
                                <w:rFonts w:cs="Calibri" w:cstheme="minorHAnsi"/>
                                <w:b/>
                                <w:b/>
                                <w:sz w:val="20"/>
                                <w:szCs w:val="20"/>
                                <w:u w:val="single"/>
                              </w:rPr>
                            </w:pPr>
                            <w:r>
                              <w:rPr>
                                <w:rFonts w:cs="Calibri" w:cstheme="minorHAnsi"/>
                                <w:b/>
                                <w:sz w:val="20"/>
                                <w:szCs w:val="20"/>
                                <w:u w:val="single"/>
                              </w:rPr>
                              <w:t>6. Prevent and address the secondary impact of the outbreak – minimize the human consequences of the outbreak</w:t>
                            </w:r>
                          </w:p>
                          <w:p>
                            <w:pPr>
                              <w:pStyle w:val="ListParagraph"/>
                              <w:numPr>
                                <w:ilvl w:val="0"/>
                                <w:numId w:val="2"/>
                              </w:numPr>
                              <w:spacing w:before="0" w:after="0"/>
                              <w:contextualSpacing/>
                              <w:jc w:val="both"/>
                              <w:rPr>
                                <w:rFonts w:cs="Calibri" w:cstheme="minorHAnsi"/>
                                <w:sz w:val="20"/>
                                <w:szCs w:val="20"/>
                              </w:rPr>
                            </w:pPr>
                            <w:r>
                              <w:rPr>
                                <w:rFonts w:cs="Calibri" w:cstheme="minorHAnsi"/>
                                <w:b/>
                                <w:sz w:val="20"/>
                                <w:szCs w:val="20"/>
                              </w:rPr>
                              <w:t>Support the continuity of health and social services</w:t>
                            </w:r>
                            <w:r>
                              <w:rPr>
                                <w:rFonts w:cs="Calibri" w:cstheme="minorHAnsi"/>
                                <w:sz w:val="20"/>
                                <w:szCs w:val="20"/>
                              </w:rPr>
                              <w:t xml:space="preserve"> (i.e. child, maternal, newborn health services, HIV services, vaccinations, WASH, nutrition) including </w:t>
                            </w:r>
                            <w:r>
                              <w:rPr>
                                <w:rFonts w:cs="Calibri" w:cstheme="minorHAnsi"/>
                                <w:b/>
                                <w:sz w:val="20"/>
                                <w:szCs w:val="20"/>
                              </w:rPr>
                              <w:t>safe delivery of</w:t>
                            </w:r>
                            <w:r>
                              <w:rPr>
                                <w:rFonts w:cs="Calibri" w:cstheme="minorHAnsi"/>
                                <w:sz w:val="20"/>
                                <w:szCs w:val="20"/>
                              </w:rPr>
                              <w:t xml:space="preserve"> </w:t>
                            </w:r>
                            <w:r>
                              <w:rPr>
                                <w:rFonts w:cs="Calibri" w:cstheme="minorHAnsi"/>
                                <w:b/>
                                <w:sz w:val="20"/>
                                <w:szCs w:val="20"/>
                              </w:rPr>
                              <w:t>education</w:t>
                            </w:r>
                            <w:r>
                              <w:rPr>
                                <w:rFonts w:cs="Calibri" w:cstheme="minorHAnsi"/>
                                <w:sz w:val="20"/>
                                <w:szCs w:val="20"/>
                              </w:rPr>
                              <w:t xml:space="preserve"> </w:t>
                            </w:r>
                          </w:p>
                          <w:p>
                            <w:pPr>
                              <w:pStyle w:val="ListParagraph"/>
                              <w:numPr>
                                <w:ilvl w:val="0"/>
                                <w:numId w:val="2"/>
                              </w:numPr>
                              <w:spacing w:before="0" w:after="0"/>
                              <w:contextualSpacing/>
                              <w:jc w:val="both"/>
                              <w:rPr>
                                <w:rFonts w:cs="Calibri" w:cstheme="minorHAnsi"/>
                                <w:sz w:val="20"/>
                                <w:szCs w:val="20"/>
                              </w:rPr>
                            </w:pPr>
                            <w:r>
                              <w:rPr>
                                <w:rFonts w:cs="Calibri" w:cstheme="minorHAnsi"/>
                                <w:sz w:val="20"/>
                                <w:szCs w:val="20"/>
                              </w:rPr>
                              <w:t xml:space="preserve">Provide adapted alternative learning support, including </w:t>
                            </w:r>
                            <w:r>
                              <w:rPr>
                                <w:rFonts w:cs="Calibri" w:cstheme="minorHAnsi"/>
                                <w:b/>
                                <w:sz w:val="20"/>
                                <w:szCs w:val="20"/>
                              </w:rPr>
                              <w:t>remote schooling</w:t>
                            </w:r>
                            <w:r>
                              <w:rPr>
                                <w:rFonts w:cs="Calibri" w:cstheme="minorHAnsi"/>
                                <w:sz w:val="20"/>
                                <w:szCs w:val="20"/>
                              </w:rPr>
                              <w:t xml:space="preserve"> for school closures</w:t>
                            </w:r>
                          </w:p>
                          <w:p>
                            <w:pPr>
                              <w:pStyle w:val="ListParagraph"/>
                              <w:numPr>
                                <w:ilvl w:val="0"/>
                                <w:numId w:val="2"/>
                              </w:numPr>
                              <w:spacing w:lineRule="auto" w:line="264" w:before="120" w:after="200"/>
                              <w:contextualSpacing/>
                              <w:jc w:val="both"/>
                              <w:rPr>
                                <w:rFonts w:cs="Calibri" w:cstheme="minorHAnsi"/>
                                <w:sz w:val="20"/>
                                <w:szCs w:val="20"/>
                              </w:rPr>
                            </w:pPr>
                            <w:r>
                              <w:rPr>
                                <w:rFonts w:cs="Calibri" w:cstheme="minorHAnsi"/>
                                <w:b/>
                                <w:sz w:val="20"/>
                                <w:szCs w:val="20"/>
                              </w:rPr>
                              <w:t>Child protection services</w:t>
                            </w:r>
                            <w:r>
                              <w:rPr>
                                <w:rFonts w:cs="Calibri" w:cstheme="minorHAnsi"/>
                                <w:sz w:val="20"/>
                                <w:szCs w:val="20"/>
                              </w:rPr>
                              <w:t xml:space="preserve"> for nCoV affected children: children quarantined, hospitalized, left without care provider</w:t>
                            </w:r>
                          </w:p>
                          <w:p>
                            <w:pPr>
                              <w:pStyle w:val="ListParagraph"/>
                              <w:numPr>
                                <w:ilvl w:val="0"/>
                                <w:numId w:val="2"/>
                              </w:numPr>
                              <w:spacing w:lineRule="auto" w:line="264" w:before="120" w:after="200"/>
                              <w:contextualSpacing/>
                              <w:jc w:val="both"/>
                              <w:rPr>
                                <w:rFonts w:cs="Calibri" w:cstheme="minorHAnsi"/>
                                <w:sz w:val="20"/>
                                <w:szCs w:val="20"/>
                              </w:rPr>
                            </w:pPr>
                            <w:r>
                              <w:rPr>
                                <w:rFonts w:cs="Calibri" w:cstheme="minorHAnsi"/>
                                <w:b/>
                                <w:sz w:val="20"/>
                                <w:szCs w:val="20"/>
                              </w:rPr>
                              <w:t>Psychosocial support and stigma prevention</w:t>
                            </w:r>
                            <w:r>
                              <w:rPr>
                                <w:rFonts w:cs="Calibri" w:cstheme="minorHAnsi"/>
                                <w:sz w:val="20"/>
                                <w:szCs w:val="20"/>
                              </w:rPr>
                              <w:t xml:space="preserve"> for nCoV affected children and families </w:t>
                            </w:r>
                          </w:p>
                          <w:p>
                            <w:pPr>
                              <w:pStyle w:val="ListParagraph"/>
                              <w:numPr>
                                <w:ilvl w:val="0"/>
                                <w:numId w:val="2"/>
                              </w:numPr>
                              <w:spacing w:before="0" w:after="0"/>
                              <w:contextualSpacing/>
                              <w:jc w:val="both"/>
                              <w:rPr>
                                <w:rFonts w:cs="Calibri" w:cstheme="minorHAnsi"/>
                                <w:sz w:val="20"/>
                                <w:szCs w:val="20"/>
                              </w:rPr>
                            </w:pPr>
                            <w:r>
                              <w:rPr>
                                <w:rFonts w:cs="Calibri" w:cstheme="minorHAnsi"/>
                                <w:b/>
                                <w:sz w:val="20"/>
                                <w:szCs w:val="20"/>
                              </w:rPr>
                              <w:t>Social protection services</w:t>
                            </w:r>
                            <w:r>
                              <w:rPr>
                                <w:rFonts w:cs="Calibri" w:cstheme="minorHAnsi"/>
                                <w:sz w:val="20"/>
                                <w:szCs w:val="20"/>
                              </w:rPr>
                              <w:t xml:space="preserve"> for economically vulnerable households affected by nCoV</w:t>
                            </w:r>
                          </w:p>
                          <w:p>
                            <w:pPr>
                              <w:pStyle w:val="ListParagraph"/>
                              <w:numPr>
                                <w:ilvl w:val="0"/>
                                <w:numId w:val="2"/>
                              </w:numPr>
                              <w:spacing w:before="0" w:after="0"/>
                              <w:contextualSpacing/>
                              <w:jc w:val="both"/>
                              <w:rPr>
                                <w:rFonts w:cs="Calibri" w:cstheme="minorHAnsi"/>
                                <w:sz w:val="20"/>
                                <w:szCs w:val="20"/>
                              </w:rPr>
                            </w:pPr>
                            <w:r>
                              <w:rPr>
                                <w:rFonts w:cs="Calibri" w:cstheme="minorHAnsi"/>
                                <w:b/>
                                <w:sz w:val="20"/>
                                <w:szCs w:val="20"/>
                              </w:rPr>
                              <w:t>Risk mitigation of GBViE</w:t>
                            </w:r>
                          </w:p>
                          <w:p>
                            <w:pPr>
                              <w:pStyle w:val="FrameContents"/>
                              <w:jc w:val="both"/>
                              <w:rPr>
                                <w:rFonts w:cs="Calibri" w:cstheme="minorHAnsi"/>
                                <w:sz w:val="20"/>
                                <w:szCs w:val="20"/>
                              </w:rPr>
                            </w:pPr>
                            <w:r>
                              <w:rPr>
                                <w:rFonts w:cs="Calibri" w:cstheme="minorHAnsi"/>
                                <w:sz w:val="20"/>
                                <w:szCs w:val="20"/>
                              </w:rPr>
                            </w:r>
                          </w:p>
                          <w:p>
                            <w:pPr>
                              <w:pStyle w:val="FrameContents"/>
                              <w:jc w:val="both"/>
                              <w:rPr>
                                <w:rFonts w:cs="Calibri" w:cstheme="minorHAnsi"/>
                                <w:b/>
                                <w:b/>
                                <w:sz w:val="20"/>
                                <w:szCs w:val="20"/>
                                <w:u w:val="single"/>
                              </w:rPr>
                            </w:pPr>
                            <w:r>
                              <w:rPr>
                                <w:rFonts w:cs="Calibri" w:cstheme="minorHAnsi"/>
                                <w:b/>
                                <w:sz w:val="20"/>
                                <w:szCs w:val="20"/>
                                <w:u w:val="single"/>
                              </w:rPr>
                              <w:t>7. Staff safety and duty of care</w:t>
                            </w:r>
                          </w:p>
                          <w:p>
                            <w:pPr>
                              <w:pStyle w:val="FrameContents"/>
                              <w:jc w:val="both"/>
                              <w:rPr>
                                <w:rFonts w:cs="Calibri" w:cstheme="minorHAnsi"/>
                                <w:b/>
                                <w:b/>
                                <w:sz w:val="20"/>
                                <w:szCs w:val="20"/>
                                <w:u w:val="single"/>
                              </w:rPr>
                            </w:pPr>
                            <w:r>
                              <w:rPr>
                                <w:rFonts w:cs="Calibri" w:cstheme="minorHAnsi"/>
                                <w:b/>
                                <w:sz w:val="20"/>
                                <w:szCs w:val="20"/>
                                <w:u w:val="single"/>
                              </w:rPr>
                            </w:r>
                          </w:p>
                          <w:p>
                            <w:pPr>
                              <w:pStyle w:val="ListParagraph"/>
                              <w:numPr>
                                <w:ilvl w:val="0"/>
                                <w:numId w:val="2"/>
                              </w:numPr>
                              <w:spacing w:before="0" w:after="0"/>
                              <w:contextualSpacing/>
                              <w:jc w:val="both"/>
                              <w:rPr>
                                <w:rFonts w:cs="Calibri" w:cstheme="minorHAnsi"/>
                                <w:sz w:val="20"/>
                                <w:szCs w:val="20"/>
                              </w:rPr>
                            </w:pPr>
                            <w:r>
                              <w:rPr>
                                <w:rFonts w:cs="Calibri" w:cstheme="minorHAnsi"/>
                                <w:sz w:val="20"/>
                                <w:szCs w:val="20"/>
                              </w:rPr>
                              <w:t xml:space="preserve">Ensure </w:t>
                            </w:r>
                            <w:r>
                              <w:rPr>
                                <w:rFonts w:cs="Calibri" w:cstheme="minorHAnsi"/>
                                <w:b/>
                                <w:sz w:val="20"/>
                                <w:szCs w:val="20"/>
                              </w:rPr>
                              <w:t>safety of staff and relatives</w:t>
                            </w:r>
                            <w:r>
                              <w:rPr>
                                <w:rFonts w:cs="Calibri" w:cstheme="minorHAnsi"/>
                                <w:sz w:val="20"/>
                                <w:szCs w:val="20"/>
                              </w:rPr>
                              <w:t xml:space="preserve"> during the outbreak.</w:t>
                            </w:r>
                          </w:p>
                          <w:p>
                            <w:pPr>
                              <w:pStyle w:val="FrameContents"/>
                              <w:jc w:val="both"/>
                              <w:rPr>
                                <w:rFonts w:cs="Calibri" w:cstheme="minorHAnsi"/>
                                <w:sz w:val="20"/>
                                <w:szCs w:val="20"/>
                              </w:rPr>
                            </w:pPr>
                            <w:r>
                              <w:rPr>
                                <w:rFonts w:cs="Calibri" w:cstheme="minorHAnsi"/>
                                <w:sz w:val="20"/>
                                <w:szCs w:val="20"/>
                              </w:rPr>
                            </w:r>
                          </w:p>
                          <w:p>
                            <w:pPr>
                              <w:pStyle w:val="FrameContents"/>
                              <w:jc w:val="both"/>
                              <w:rPr/>
                            </w:pPr>
                            <w:r>
                              <w:rPr>
                                <w:rFonts w:cs="Calibri" w:cstheme="minorHAnsi"/>
                                <w:b/>
                                <w:sz w:val="20"/>
                                <w:szCs w:val="20"/>
                                <w:u w:val="single"/>
                              </w:rPr>
                              <w:t xml:space="preserve">8. </w:t>
                            </w:r>
                            <w:r>
                              <w:rPr>
                                <w:rFonts w:eastAsia="SimSun" w:cs="Calibri" w:cstheme="minorHAnsi"/>
                                <w:b/>
                                <w:bCs/>
                                <w:sz w:val="20"/>
                                <w:szCs w:val="20"/>
                                <w:u w:val="single"/>
                                <w:lang w:eastAsia="ja-JP"/>
                              </w:rPr>
                              <w:t>Office operations: preparedness and business continuity</w:t>
                            </w:r>
                          </w:p>
                        </w:txbxContent>
                      </wps:txbx>
                      <wps:bodyPr>
                        <a:noAutofit/>
                      </wps:bodyPr>
                    </wps:wsp>
                  </a:graphicData>
                </a:graphic>
              </wp:anchor>
            </w:drawing>
          </mc:Choice>
          <mc:Fallback>
            <w:pict>
              <v:rect id="shape_0" ID="Text Box 2" fillcolor="white" stroked="t" style="position:absolute;margin-left:7.05pt;margin-top:24.85pt;width:469.75pt;height:651.55pt;mso-position-horizontal-relative:margin" wp14:anchorId="6C3A7EF8">
                <w10:wrap type="square"/>
                <v:fill o:detectmouseclick="t" type="solid" color2="black"/>
                <v:stroke color="black" weight="9360" joinstyle="miter" endcap="flat"/>
                <v:textbox>
                  <w:txbxContent>
                    <w:p>
                      <w:pPr>
                        <w:pStyle w:val="FrameContents"/>
                        <w:numPr>
                          <w:ilvl w:val="0"/>
                          <w:numId w:val="0"/>
                        </w:numPr>
                        <w:pBdr>
                          <w:top w:val="single" w:sz="24" w:space="0" w:color="C9ECFC"/>
                          <w:left w:val="single" w:sz="24" w:space="0" w:color="C9ECFC"/>
                          <w:bottom w:val="single" w:sz="24" w:space="0" w:color="C9ECFC"/>
                          <w:right w:val="single" w:sz="24" w:space="0" w:color="C9ECFC"/>
                        </w:pBdr>
                        <w:shd w:val="clear" w:color="auto" w:fill="C9ECFC"/>
                        <w:spacing w:lineRule="auto" w:line="264" w:before="120" w:after="0"/>
                        <w:outlineLvl w:val="1"/>
                        <w:rPr>
                          <w:rFonts w:ascii="Corbel" w:hAnsi="Corbel" w:eastAsia="SimSun" w:cs="Tahoma"/>
                          <w:caps/>
                          <w:spacing w:val="15"/>
                          <w:sz w:val="22"/>
                          <w:szCs w:val="22"/>
                          <w:lang w:eastAsia="ja-JP"/>
                        </w:rPr>
                      </w:pPr>
                      <w:r>
                        <w:rPr>
                          <w:rFonts w:eastAsia="SimSun" w:cs="Tahoma" w:ascii="Corbel" w:hAnsi="Corbel"/>
                          <w:caps/>
                          <w:spacing w:val="15"/>
                          <w:sz w:val="22"/>
                          <w:szCs w:val="22"/>
                          <w:lang w:eastAsia="ja-JP"/>
                        </w:rPr>
                        <w:t xml:space="preserve">UNICEF Priority AreaS </w:t>
                      </w:r>
                      <w:r>
                        <w:rPr>
                          <w:rFonts w:eastAsia="SimSun" w:cs="Tahoma" w:ascii="Corbel" w:hAnsi="Corbel"/>
                          <w:caps/>
                          <w:spacing w:val="15"/>
                        </w:rPr>
                        <w:t>by objective</w:t>
                      </w:r>
                    </w:p>
                    <w:p>
                      <w:pPr>
                        <w:pStyle w:val="FrameContents"/>
                        <w:spacing w:lineRule="auto" w:line="264" w:before="120" w:after="200"/>
                        <w:rPr>
                          <w:rFonts w:eastAsia="SimSun" w:cs="Calibri" w:cstheme="minorHAnsi"/>
                          <w:b/>
                          <w:b/>
                          <w:sz w:val="20"/>
                          <w:szCs w:val="20"/>
                          <w:u w:val="single"/>
                          <w:lang w:eastAsia="ja-JP"/>
                        </w:rPr>
                      </w:pPr>
                      <w:r>
                        <w:rPr>
                          <w:rFonts w:eastAsia="SimSun" w:cs="Calibri" w:cstheme="minorHAnsi"/>
                          <w:b/>
                          <w:sz w:val="20"/>
                          <w:szCs w:val="20"/>
                          <w:u w:val="single"/>
                        </w:rPr>
                        <w:t>1. Enhance preparedness and country capacity</w:t>
                      </w:r>
                    </w:p>
                    <w:p>
                      <w:pPr>
                        <w:pStyle w:val="ListParagraph"/>
                        <w:numPr>
                          <w:ilvl w:val="0"/>
                          <w:numId w:val="2"/>
                        </w:numPr>
                        <w:spacing w:before="0" w:after="0"/>
                        <w:contextualSpacing/>
                        <w:jc w:val="both"/>
                        <w:rPr>
                          <w:rFonts w:cs="Calibri" w:cstheme="minorHAnsi"/>
                          <w:i/>
                          <w:i/>
                          <w:sz w:val="20"/>
                          <w:szCs w:val="20"/>
                        </w:rPr>
                      </w:pPr>
                      <w:r>
                        <w:rPr>
                          <w:rFonts w:cs="Calibri" w:cstheme="minorHAnsi"/>
                          <w:sz w:val="20"/>
                          <w:szCs w:val="20"/>
                        </w:rPr>
                        <w:t>Multi-sectoral and scenario-based national preparedness and response planning</w:t>
                      </w:r>
                    </w:p>
                    <w:p>
                      <w:pPr>
                        <w:pStyle w:val="ListParagraph"/>
                        <w:numPr>
                          <w:ilvl w:val="0"/>
                          <w:numId w:val="2"/>
                        </w:numPr>
                        <w:spacing w:before="0" w:after="0"/>
                        <w:contextualSpacing/>
                        <w:jc w:val="both"/>
                        <w:rPr/>
                      </w:pPr>
                      <w:r>
                        <w:rPr>
                          <w:rFonts w:cs="Calibri" w:cstheme="minorHAnsi"/>
                          <w:sz w:val="20"/>
                          <w:szCs w:val="20"/>
                        </w:rPr>
                        <w:t xml:space="preserve">Training and guidance </w:t>
                      </w:r>
                    </w:p>
                    <w:p>
                      <w:pPr>
                        <w:pStyle w:val="FrameContents"/>
                        <w:jc w:val="both"/>
                        <w:rPr>
                          <w:rFonts w:cs="Calibri" w:cstheme="minorHAnsi"/>
                          <w:i/>
                          <w:i/>
                          <w:sz w:val="20"/>
                          <w:szCs w:val="20"/>
                        </w:rPr>
                      </w:pPr>
                      <w:r>
                        <w:rPr>
                          <w:rFonts w:cs="Calibri" w:cstheme="minorHAnsi"/>
                          <w:i/>
                          <w:sz w:val="20"/>
                          <w:szCs w:val="20"/>
                        </w:rPr>
                      </w:r>
                    </w:p>
                    <w:p>
                      <w:pPr>
                        <w:pStyle w:val="FrameContents"/>
                        <w:jc w:val="both"/>
                        <w:rPr>
                          <w:rFonts w:cs="Calibri" w:cstheme="minorHAnsi"/>
                          <w:b/>
                          <w:b/>
                          <w:sz w:val="20"/>
                          <w:szCs w:val="20"/>
                          <w:u w:val="single"/>
                        </w:rPr>
                      </w:pPr>
                      <w:r>
                        <w:rPr>
                          <w:rFonts w:cs="Calibri" w:cstheme="minorHAnsi"/>
                          <w:b/>
                          <w:sz w:val="20"/>
                          <w:szCs w:val="20"/>
                          <w:u w:val="single"/>
                        </w:rPr>
                        <w:t>2. Support partner coordination at the country level</w:t>
                      </w:r>
                    </w:p>
                    <w:p>
                      <w:pPr>
                        <w:pStyle w:val="ListParagraph"/>
                        <w:numPr>
                          <w:ilvl w:val="0"/>
                          <w:numId w:val="2"/>
                        </w:numPr>
                        <w:spacing w:before="120" w:after="200"/>
                        <w:contextualSpacing/>
                        <w:jc w:val="both"/>
                        <w:rPr>
                          <w:rFonts w:cs="Calibri" w:cstheme="minorHAnsi"/>
                          <w:sz w:val="20"/>
                          <w:szCs w:val="20"/>
                        </w:rPr>
                      </w:pPr>
                      <w:r>
                        <w:rPr>
                          <w:rFonts w:cs="Calibri" w:cstheme="minorHAnsi"/>
                          <w:b/>
                          <w:sz w:val="20"/>
                          <w:szCs w:val="20"/>
                        </w:rPr>
                        <w:t>Multi-sectoral coordination</w:t>
                      </w:r>
                      <w:r>
                        <w:rPr>
                          <w:rFonts w:cs="Calibri" w:cstheme="minorHAnsi"/>
                          <w:sz w:val="20"/>
                          <w:szCs w:val="20"/>
                        </w:rPr>
                        <w:t xml:space="preserve"> with relevant national authorities (ministries of health, agriculture, public works, environment, social protection, education, etc.), WHO and key stakeholders at national, district and local levels</w:t>
                      </w:r>
                    </w:p>
                    <w:p>
                      <w:pPr>
                        <w:pStyle w:val="FrameContents"/>
                        <w:spacing w:lineRule="auto" w:line="264" w:before="120" w:after="200"/>
                        <w:contextualSpacing/>
                        <w:jc w:val="both"/>
                        <w:rPr>
                          <w:rFonts w:cs="Calibri" w:cstheme="minorHAnsi"/>
                          <w:b/>
                          <w:b/>
                          <w:sz w:val="20"/>
                          <w:szCs w:val="20"/>
                          <w:u w:val="single"/>
                        </w:rPr>
                      </w:pPr>
                      <w:r>
                        <w:rPr>
                          <w:rFonts w:cs="Calibri" w:cstheme="minorHAnsi"/>
                          <w:b/>
                          <w:sz w:val="20"/>
                          <w:szCs w:val="20"/>
                          <w:u w:val="single"/>
                        </w:rPr>
                        <w:t>3. Limit human-to-human transmission and protect individuals from exposure to nCoV</w:t>
                      </w:r>
                    </w:p>
                    <w:p>
                      <w:pPr>
                        <w:pStyle w:val="ListParagraph"/>
                        <w:numPr>
                          <w:ilvl w:val="0"/>
                          <w:numId w:val="2"/>
                        </w:numPr>
                        <w:spacing w:before="120" w:after="200"/>
                        <w:contextualSpacing/>
                        <w:jc w:val="both"/>
                        <w:rPr>
                          <w:rFonts w:cs="Calibri" w:cstheme="minorHAnsi"/>
                          <w:sz w:val="20"/>
                          <w:szCs w:val="20"/>
                        </w:rPr>
                      </w:pPr>
                      <w:r>
                        <w:rPr>
                          <w:rFonts w:cs="Calibri" w:cstheme="minorHAnsi"/>
                          <w:b/>
                          <w:sz w:val="20"/>
                          <w:szCs w:val="20"/>
                        </w:rPr>
                        <w:t>Risk communication and community engagement</w:t>
                      </w:r>
                      <w:r>
                        <w:rPr>
                          <w:rFonts w:cs="Calibri" w:cstheme="minorHAnsi"/>
                          <w:sz w:val="20"/>
                          <w:szCs w:val="20"/>
                        </w:rPr>
                        <w:t xml:space="preserve"> (RCCE) to inform decision making related to personal risk, mitigate rumors, share information and advice between experts, communities and officials, and to effectively involve communities in the response to control the outbreak</w:t>
                      </w:r>
                    </w:p>
                    <w:p>
                      <w:pPr>
                        <w:pStyle w:val="ListParagraph"/>
                        <w:numPr>
                          <w:ilvl w:val="0"/>
                          <w:numId w:val="2"/>
                        </w:numPr>
                        <w:spacing w:before="120" w:after="200"/>
                        <w:contextualSpacing/>
                        <w:jc w:val="both"/>
                        <w:rPr>
                          <w:rFonts w:cs="Calibri" w:cstheme="minorHAnsi"/>
                          <w:b/>
                          <w:b/>
                          <w:sz w:val="20"/>
                          <w:szCs w:val="20"/>
                        </w:rPr>
                      </w:pPr>
                      <w:r>
                        <w:rPr>
                          <w:rFonts w:cs="Calibri" w:cstheme="minorHAnsi"/>
                          <w:b/>
                          <w:sz w:val="20"/>
                          <w:szCs w:val="20"/>
                        </w:rPr>
                        <w:t xml:space="preserve">Social sciences analysis </w:t>
                      </w:r>
                    </w:p>
                    <w:p>
                      <w:pPr>
                        <w:pStyle w:val="ListParagraph"/>
                        <w:numPr>
                          <w:ilvl w:val="0"/>
                          <w:numId w:val="2"/>
                        </w:numPr>
                        <w:spacing w:before="120" w:after="200"/>
                        <w:contextualSpacing/>
                        <w:jc w:val="both"/>
                        <w:rPr>
                          <w:rFonts w:cs="Calibri" w:cstheme="minorHAnsi"/>
                          <w:sz w:val="20"/>
                          <w:szCs w:val="20"/>
                        </w:rPr>
                      </w:pPr>
                      <w:r>
                        <w:rPr>
                          <w:rFonts w:cs="Calibri" w:cstheme="minorHAnsi"/>
                          <w:b/>
                          <w:color w:val="000000" w:themeColor="text1"/>
                          <w:sz w:val="20"/>
                          <w:szCs w:val="20"/>
                        </w:rPr>
                        <w:t>Infection prevention and control</w:t>
                      </w:r>
                      <w:r>
                        <w:rPr>
                          <w:rFonts w:cs="Calibri" w:cstheme="minorHAnsi"/>
                          <w:color w:val="000000" w:themeColor="text1"/>
                          <w:sz w:val="20"/>
                          <w:szCs w:val="20"/>
                        </w:rPr>
                        <w:t xml:space="preserve"> </w:t>
                      </w:r>
                      <w:r>
                        <w:rPr>
                          <w:rFonts w:cs="Calibri" w:cstheme="minorHAnsi"/>
                          <w:sz w:val="20"/>
                          <w:szCs w:val="20"/>
                        </w:rPr>
                        <w:t xml:space="preserve">(IPC) in health facilities, schools and communities through Health, WASH, RCCE and Education programs. </w:t>
                      </w:r>
                      <w:r>
                        <w:rPr>
                          <w:rFonts w:cs="Calibri" w:cstheme="minorHAnsi"/>
                          <w:b/>
                          <w:sz w:val="20"/>
                          <w:szCs w:val="20"/>
                        </w:rPr>
                        <w:t>Reinforce or establish referral systems</w:t>
                      </w:r>
                    </w:p>
                    <w:p>
                      <w:pPr>
                        <w:pStyle w:val="ListParagraph"/>
                        <w:numPr>
                          <w:ilvl w:val="0"/>
                          <w:numId w:val="2"/>
                        </w:numPr>
                        <w:spacing w:before="120" w:after="200"/>
                        <w:contextualSpacing/>
                        <w:jc w:val="both"/>
                        <w:rPr>
                          <w:rFonts w:cs="Calibri" w:cstheme="minorHAnsi"/>
                          <w:sz w:val="20"/>
                          <w:szCs w:val="20"/>
                        </w:rPr>
                      </w:pPr>
                      <w:r>
                        <w:rPr>
                          <w:rFonts w:cs="Calibri" w:cstheme="minorHAnsi"/>
                          <w:sz w:val="20"/>
                          <w:szCs w:val="20"/>
                        </w:rPr>
                        <w:t xml:space="preserve">Novel coronavirus </w:t>
                      </w:r>
                      <w:r>
                        <w:rPr>
                          <w:rFonts w:cs="Calibri" w:cstheme="minorHAnsi"/>
                          <w:b/>
                          <w:sz w:val="20"/>
                          <w:szCs w:val="20"/>
                        </w:rPr>
                        <w:t>education</w:t>
                      </w:r>
                      <w:r>
                        <w:rPr>
                          <w:rFonts w:cs="Calibri" w:cstheme="minorHAnsi"/>
                          <w:sz w:val="20"/>
                          <w:szCs w:val="20"/>
                        </w:rPr>
                        <w:t xml:space="preserve"> </w:t>
                      </w:r>
                      <w:r>
                        <w:rPr>
                          <w:rFonts w:cs="Calibri" w:cstheme="minorHAnsi"/>
                          <w:b/>
                          <w:sz w:val="20"/>
                          <w:szCs w:val="20"/>
                        </w:rPr>
                        <w:t xml:space="preserve">in schools. </w:t>
                      </w:r>
                    </w:p>
                    <w:p>
                      <w:pPr>
                        <w:pStyle w:val="FrameContents"/>
                        <w:spacing w:lineRule="auto" w:line="264" w:before="120" w:after="0"/>
                        <w:jc w:val="both"/>
                        <w:rPr>
                          <w:rFonts w:cs="Calibri" w:cstheme="minorHAnsi"/>
                          <w:b/>
                          <w:b/>
                          <w:sz w:val="20"/>
                          <w:szCs w:val="20"/>
                          <w:u w:val="single"/>
                        </w:rPr>
                      </w:pPr>
                      <w:r>
                        <w:rPr>
                          <w:rFonts w:cs="Calibri" w:cstheme="minorHAnsi"/>
                          <w:b/>
                          <w:sz w:val="20"/>
                          <w:szCs w:val="20"/>
                          <w:u w:val="single"/>
                        </w:rPr>
                        <w:t>4. Minimize morbidity and mortality due to nCoV</w:t>
                      </w:r>
                    </w:p>
                    <w:p>
                      <w:pPr>
                        <w:pStyle w:val="ListParagraph"/>
                        <w:spacing w:before="0" w:after="0"/>
                        <w:ind w:left="360" w:hanging="0"/>
                        <w:contextualSpacing/>
                        <w:jc w:val="both"/>
                        <w:rPr>
                          <w:rFonts w:cs="Calibri" w:cstheme="minorHAnsi"/>
                          <w:sz w:val="20"/>
                          <w:szCs w:val="20"/>
                        </w:rPr>
                      </w:pPr>
                      <w:r>
                        <w:rPr>
                          <w:rFonts w:cs="Calibri" w:cstheme="minorHAnsi"/>
                          <w:sz w:val="20"/>
                          <w:szCs w:val="20"/>
                        </w:rPr>
                      </w:r>
                    </w:p>
                    <w:p>
                      <w:pPr>
                        <w:pStyle w:val="ListParagraph"/>
                        <w:numPr>
                          <w:ilvl w:val="0"/>
                          <w:numId w:val="2"/>
                        </w:numPr>
                        <w:spacing w:before="0" w:after="0"/>
                        <w:contextualSpacing/>
                        <w:jc w:val="both"/>
                        <w:rPr>
                          <w:rFonts w:cs="Calibri" w:cstheme="minorHAnsi"/>
                          <w:sz w:val="20"/>
                          <w:szCs w:val="20"/>
                        </w:rPr>
                      </w:pPr>
                      <w:r>
                        <w:rPr>
                          <w:rFonts w:eastAsia="SimSun" w:cs="Calibri" w:cstheme="minorHAnsi"/>
                          <w:b/>
                          <w:color w:val="000000" w:themeColor="text1"/>
                          <w:sz w:val="20"/>
                          <w:szCs w:val="20"/>
                        </w:rPr>
                        <w:t>Surveillance and early warning system</w:t>
                      </w:r>
                    </w:p>
                    <w:p>
                      <w:pPr>
                        <w:pStyle w:val="ListParagraph"/>
                        <w:numPr>
                          <w:ilvl w:val="0"/>
                          <w:numId w:val="2"/>
                        </w:numPr>
                        <w:spacing w:before="0" w:after="0"/>
                        <w:contextualSpacing/>
                        <w:jc w:val="both"/>
                        <w:rPr>
                          <w:rFonts w:cs="Calibri" w:cstheme="minorHAnsi"/>
                          <w:sz w:val="20"/>
                          <w:szCs w:val="20"/>
                        </w:rPr>
                      </w:pPr>
                      <w:r>
                        <w:rPr>
                          <w:rFonts w:cs="Calibri" w:cstheme="minorHAnsi"/>
                          <w:sz w:val="20"/>
                          <w:szCs w:val="20"/>
                        </w:rPr>
                        <w:t xml:space="preserve">Support to </w:t>
                      </w:r>
                      <w:r>
                        <w:rPr>
                          <w:rFonts w:cs="Calibri" w:cstheme="minorHAnsi"/>
                          <w:b/>
                          <w:sz w:val="20"/>
                          <w:szCs w:val="20"/>
                        </w:rPr>
                        <w:t>case management</w:t>
                      </w:r>
                      <w:r>
                        <w:rPr>
                          <w:rFonts w:cs="Calibri" w:cstheme="minorHAnsi"/>
                          <w:sz w:val="20"/>
                          <w:szCs w:val="20"/>
                        </w:rPr>
                        <w:t xml:space="preserve"> adapted to children and pregnant women</w:t>
                      </w:r>
                      <w:r>
                        <w:rPr>
                          <w:rFonts w:cs="Calibri" w:cstheme="minorHAnsi"/>
                          <w:b/>
                          <w:sz w:val="20"/>
                          <w:szCs w:val="20"/>
                        </w:rPr>
                        <w:t xml:space="preserve"> </w:t>
                      </w:r>
                    </w:p>
                    <w:p>
                      <w:pPr>
                        <w:pStyle w:val="ListParagraph"/>
                        <w:numPr>
                          <w:ilvl w:val="0"/>
                          <w:numId w:val="2"/>
                        </w:numPr>
                        <w:spacing w:before="0" w:after="0"/>
                        <w:contextualSpacing/>
                        <w:jc w:val="both"/>
                        <w:rPr>
                          <w:rFonts w:cs="Calibri" w:cstheme="minorHAnsi"/>
                          <w:sz w:val="20"/>
                          <w:szCs w:val="20"/>
                        </w:rPr>
                      </w:pPr>
                      <w:r>
                        <w:rPr>
                          <w:rFonts w:cs="Calibri" w:cstheme="minorHAnsi"/>
                          <w:sz w:val="20"/>
                          <w:szCs w:val="20"/>
                        </w:rPr>
                        <w:t>Implementation of</w:t>
                      </w:r>
                      <w:r>
                        <w:rPr>
                          <w:rFonts w:cs="Calibri" w:cstheme="minorHAnsi"/>
                          <w:b/>
                          <w:sz w:val="20"/>
                          <w:szCs w:val="20"/>
                        </w:rPr>
                        <w:t xml:space="preserve"> breastfeeding recommendations</w:t>
                      </w:r>
                      <w:r>
                        <w:rPr>
                          <w:rFonts w:cs="Calibri" w:cstheme="minorHAnsi"/>
                          <w:sz w:val="20"/>
                          <w:szCs w:val="20"/>
                        </w:rPr>
                        <w:t>, replacement feeding for infants unable to be breastfed, and nutritional support for patients with nCoV</w:t>
                      </w:r>
                    </w:p>
                    <w:p>
                      <w:pPr>
                        <w:pStyle w:val="FrameContents"/>
                        <w:spacing w:lineRule="auto" w:line="264" w:before="120" w:after="0"/>
                        <w:jc w:val="both"/>
                        <w:rPr>
                          <w:rFonts w:cs="Calibri" w:cstheme="minorHAnsi"/>
                          <w:b/>
                          <w:b/>
                          <w:sz w:val="20"/>
                          <w:szCs w:val="20"/>
                          <w:u w:val="single"/>
                        </w:rPr>
                      </w:pPr>
                      <w:r>
                        <w:rPr>
                          <w:rFonts w:cs="Calibri" w:cstheme="minorHAnsi"/>
                          <w:b/>
                          <w:sz w:val="20"/>
                          <w:szCs w:val="20"/>
                          <w:u w:val="single"/>
                        </w:rPr>
                        <w:t xml:space="preserve">5. Provide appropriate supplies and equipment to control the outbreak and support the health system </w:t>
                      </w:r>
                    </w:p>
                    <w:p>
                      <w:pPr>
                        <w:pStyle w:val="ListParagraph"/>
                        <w:numPr>
                          <w:ilvl w:val="0"/>
                          <w:numId w:val="10"/>
                        </w:numPr>
                        <w:spacing w:lineRule="auto" w:line="264" w:before="120" w:after="0"/>
                        <w:contextualSpacing/>
                        <w:jc w:val="both"/>
                        <w:rPr>
                          <w:rFonts w:cs="Calibri" w:cstheme="minorHAnsi"/>
                          <w:sz w:val="20"/>
                          <w:szCs w:val="20"/>
                        </w:rPr>
                      </w:pPr>
                      <w:r>
                        <w:rPr>
                          <w:rFonts w:cs="Calibri" w:cstheme="minorHAnsi"/>
                          <w:b/>
                          <w:sz w:val="20"/>
                          <w:szCs w:val="20"/>
                        </w:rPr>
                        <w:t>Supply and logistics</w:t>
                      </w:r>
                      <w:r>
                        <w:rPr>
                          <w:rFonts w:cs="Calibri" w:cstheme="minorHAnsi"/>
                          <w:sz w:val="20"/>
                          <w:szCs w:val="20"/>
                        </w:rPr>
                        <w:t xml:space="preserve"> for the provision of nCoV supplies: WASH items, PPE, basic health kits for case management  </w:t>
                      </w:r>
                    </w:p>
                    <w:p>
                      <w:pPr>
                        <w:pStyle w:val="FrameContents"/>
                        <w:spacing w:lineRule="auto" w:line="264" w:before="120" w:after="200"/>
                        <w:contextualSpacing/>
                        <w:jc w:val="both"/>
                        <w:rPr>
                          <w:rFonts w:cs="Calibri" w:cstheme="minorHAnsi"/>
                          <w:b/>
                          <w:b/>
                          <w:sz w:val="20"/>
                          <w:szCs w:val="20"/>
                          <w:u w:val="single"/>
                        </w:rPr>
                      </w:pPr>
                      <w:r>
                        <w:rPr>
                          <w:rFonts w:cs="Calibri" w:cstheme="minorHAnsi"/>
                          <w:b/>
                          <w:sz w:val="20"/>
                          <w:szCs w:val="20"/>
                          <w:u w:val="single"/>
                        </w:rPr>
                        <w:t>6. Prevent and address the secondary impact of the outbreak – minimize the human consequences of the outbreak</w:t>
                      </w:r>
                    </w:p>
                    <w:p>
                      <w:pPr>
                        <w:pStyle w:val="ListParagraph"/>
                        <w:numPr>
                          <w:ilvl w:val="0"/>
                          <w:numId w:val="2"/>
                        </w:numPr>
                        <w:spacing w:before="0" w:after="0"/>
                        <w:contextualSpacing/>
                        <w:jc w:val="both"/>
                        <w:rPr>
                          <w:rFonts w:cs="Calibri" w:cstheme="minorHAnsi"/>
                          <w:sz w:val="20"/>
                          <w:szCs w:val="20"/>
                        </w:rPr>
                      </w:pPr>
                      <w:r>
                        <w:rPr>
                          <w:rFonts w:cs="Calibri" w:cstheme="minorHAnsi"/>
                          <w:b/>
                          <w:sz w:val="20"/>
                          <w:szCs w:val="20"/>
                        </w:rPr>
                        <w:t>Support the continuity of health and social services</w:t>
                      </w:r>
                      <w:r>
                        <w:rPr>
                          <w:rFonts w:cs="Calibri" w:cstheme="minorHAnsi"/>
                          <w:sz w:val="20"/>
                          <w:szCs w:val="20"/>
                        </w:rPr>
                        <w:t xml:space="preserve"> (i.e. child, maternal, newborn health services, HIV services, vaccinations, WASH, nutrition) including </w:t>
                      </w:r>
                      <w:r>
                        <w:rPr>
                          <w:rFonts w:cs="Calibri" w:cstheme="minorHAnsi"/>
                          <w:b/>
                          <w:sz w:val="20"/>
                          <w:szCs w:val="20"/>
                        </w:rPr>
                        <w:t>safe delivery of</w:t>
                      </w:r>
                      <w:r>
                        <w:rPr>
                          <w:rFonts w:cs="Calibri" w:cstheme="minorHAnsi"/>
                          <w:sz w:val="20"/>
                          <w:szCs w:val="20"/>
                        </w:rPr>
                        <w:t xml:space="preserve"> </w:t>
                      </w:r>
                      <w:r>
                        <w:rPr>
                          <w:rFonts w:cs="Calibri" w:cstheme="minorHAnsi"/>
                          <w:b/>
                          <w:sz w:val="20"/>
                          <w:szCs w:val="20"/>
                        </w:rPr>
                        <w:t>education</w:t>
                      </w:r>
                      <w:r>
                        <w:rPr>
                          <w:rFonts w:cs="Calibri" w:cstheme="minorHAnsi"/>
                          <w:sz w:val="20"/>
                          <w:szCs w:val="20"/>
                        </w:rPr>
                        <w:t xml:space="preserve"> </w:t>
                      </w:r>
                    </w:p>
                    <w:p>
                      <w:pPr>
                        <w:pStyle w:val="ListParagraph"/>
                        <w:numPr>
                          <w:ilvl w:val="0"/>
                          <w:numId w:val="2"/>
                        </w:numPr>
                        <w:spacing w:before="0" w:after="0"/>
                        <w:contextualSpacing/>
                        <w:jc w:val="both"/>
                        <w:rPr>
                          <w:rFonts w:cs="Calibri" w:cstheme="minorHAnsi"/>
                          <w:sz w:val="20"/>
                          <w:szCs w:val="20"/>
                        </w:rPr>
                      </w:pPr>
                      <w:r>
                        <w:rPr>
                          <w:rFonts w:cs="Calibri" w:cstheme="minorHAnsi"/>
                          <w:sz w:val="20"/>
                          <w:szCs w:val="20"/>
                        </w:rPr>
                        <w:t xml:space="preserve">Provide adapted alternative learning support, including </w:t>
                      </w:r>
                      <w:r>
                        <w:rPr>
                          <w:rFonts w:cs="Calibri" w:cstheme="minorHAnsi"/>
                          <w:b/>
                          <w:sz w:val="20"/>
                          <w:szCs w:val="20"/>
                        </w:rPr>
                        <w:t>remote schooling</w:t>
                      </w:r>
                      <w:r>
                        <w:rPr>
                          <w:rFonts w:cs="Calibri" w:cstheme="minorHAnsi"/>
                          <w:sz w:val="20"/>
                          <w:szCs w:val="20"/>
                        </w:rPr>
                        <w:t xml:space="preserve"> for school closures</w:t>
                      </w:r>
                    </w:p>
                    <w:p>
                      <w:pPr>
                        <w:pStyle w:val="ListParagraph"/>
                        <w:numPr>
                          <w:ilvl w:val="0"/>
                          <w:numId w:val="2"/>
                        </w:numPr>
                        <w:spacing w:lineRule="auto" w:line="264" w:before="120" w:after="200"/>
                        <w:contextualSpacing/>
                        <w:jc w:val="both"/>
                        <w:rPr>
                          <w:rFonts w:cs="Calibri" w:cstheme="minorHAnsi"/>
                          <w:sz w:val="20"/>
                          <w:szCs w:val="20"/>
                        </w:rPr>
                      </w:pPr>
                      <w:r>
                        <w:rPr>
                          <w:rFonts w:cs="Calibri" w:cstheme="minorHAnsi"/>
                          <w:b/>
                          <w:sz w:val="20"/>
                          <w:szCs w:val="20"/>
                        </w:rPr>
                        <w:t>Child protection services</w:t>
                      </w:r>
                      <w:r>
                        <w:rPr>
                          <w:rFonts w:cs="Calibri" w:cstheme="minorHAnsi"/>
                          <w:sz w:val="20"/>
                          <w:szCs w:val="20"/>
                        </w:rPr>
                        <w:t xml:space="preserve"> for nCoV affected children: children quarantined, hospitalized, left without care provider</w:t>
                      </w:r>
                    </w:p>
                    <w:p>
                      <w:pPr>
                        <w:pStyle w:val="ListParagraph"/>
                        <w:numPr>
                          <w:ilvl w:val="0"/>
                          <w:numId w:val="2"/>
                        </w:numPr>
                        <w:spacing w:lineRule="auto" w:line="264" w:before="120" w:after="200"/>
                        <w:contextualSpacing/>
                        <w:jc w:val="both"/>
                        <w:rPr>
                          <w:rFonts w:cs="Calibri" w:cstheme="minorHAnsi"/>
                          <w:sz w:val="20"/>
                          <w:szCs w:val="20"/>
                        </w:rPr>
                      </w:pPr>
                      <w:r>
                        <w:rPr>
                          <w:rFonts w:cs="Calibri" w:cstheme="minorHAnsi"/>
                          <w:b/>
                          <w:sz w:val="20"/>
                          <w:szCs w:val="20"/>
                        </w:rPr>
                        <w:t>Psychosocial support and stigma prevention</w:t>
                      </w:r>
                      <w:r>
                        <w:rPr>
                          <w:rFonts w:cs="Calibri" w:cstheme="minorHAnsi"/>
                          <w:sz w:val="20"/>
                          <w:szCs w:val="20"/>
                        </w:rPr>
                        <w:t xml:space="preserve"> for nCoV affected children and families </w:t>
                      </w:r>
                    </w:p>
                    <w:p>
                      <w:pPr>
                        <w:pStyle w:val="ListParagraph"/>
                        <w:numPr>
                          <w:ilvl w:val="0"/>
                          <w:numId w:val="2"/>
                        </w:numPr>
                        <w:spacing w:before="0" w:after="0"/>
                        <w:contextualSpacing/>
                        <w:jc w:val="both"/>
                        <w:rPr>
                          <w:rFonts w:cs="Calibri" w:cstheme="minorHAnsi"/>
                          <w:sz w:val="20"/>
                          <w:szCs w:val="20"/>
                        </w:rPr>
                      </w:pPr>
                      <w:r>
                        <w:rPr>
                          <w:rFonts w:cs="Calibri" w:cstheme="minorHAnsi"/>
                          <w:b/>
                          <w:sz w:val="20"/>
                          <w:szCs w:val="20"/>
                        </w:rPr>
                        <w:t>Social protection services</w:t>
                      </w:r>
                      <w:r>
                        <w:rPr>
                          <w:rFonts w:cs="Calibri" w:cstheme="minorHAnsi"/>
                          <w:sz w:val="20"/>
                          <w:szCs w:val="20"/>
                        </w:rPr>
                        <w:t xml:space="preserve"> for economically vulnerable households affected by nCoV</w:t>
                      </w:r>
                    </w:p>
                    <w:p>
                      <w:pPr>
                        <w:pStyle w:val="ListParagraph"/>
                        <w:numPr>
                          <w:ilvl w:val="0"/>
                          <w:numId w:val="2"/>
                        </w:numPr>
                        <w:spacing w:before="0" w:after="0"/>
                        <w:contextualSpacing/>
                        <w:jc w:val="both"/>
                        <w:rPr>
                          <w:rFonts w:cs="Calibri" w:cstheme="minorHAnsi"/>
                          <w:sz w:val="20"/>
                          <w:szCs w:val="20"/>
                        </w:rPr>
                      </w:pPr>
                      <w:r>
                        <w:rPr>
                          <w:rFonts w:cs="Calibri" w:cstheme="minorHAnsi"/>
                          <w:b/>
                          <w:sz w:val="20"/>
                          <w:szCs w:val="20"/>
                        </w:rPr>
                        <w:t>Risk mitigation of GBViE</w:t>
                      </w:r>
                    </w:p>
                    <w:p>
                      <w:pPr>
                        <w:pStyle w:val="FrameContents"/>
                        <w:jc w:val="both"/>
                        <w:rPr>
                          <w:rFonts w:cs="Calibri" w:cstheme="minorHAnsi"/>
                          <w:sz w:val="20"/>
                          <w:szCs w:val="20"/>
                        </w:rPr>
                      </w:pPr>
                      <w:r>
                        <w:rPr>
                          <w:rFonts w:cs="Calibri" w:cstheme="minorHAnsi"/>
                          <w:sz w:val="20"/>
                          <w:szCs w:val="20"/>
                        </w:rPr>
                      </w:r>
                    </w:p>
                    <w:p>
                      <w:pPr>
                        <w:pStyle w:val="FrameContents"/>
                        <w:jc w:val="both"/>
                        <w:rPr>
                          <w:rFonts w:cs="Calibri" w:cstheme="minorHAnsi"/>
                          <w:b/>
                          <w:b/>
                          <w:sz w:val="20"/>
                          <w:szCs w:val="20"/>
                          <w:u w:val="single"/>
                        </w:rPr>
                      </w:pPr>
                      <w:r>
                        <w:rPr>
                          <w:rFonts w:cs="Calibri" w:cstheme="minorHAnsi"/>
                          <w:b/>
                          <w:sz w:val="20"/>
                          <w:szCs w:val="20"/>
                          <w:u w:val="single"/>
                        </w:rPr>
                        <w:t>7. Staff safety and duty of care</w:t>
                      </w:r>
                    </w:p>
                    <w:p>
                      <w:pPr>
                        <w:pStyle w:val="FrameContents"/>
                        <w:jc w:val="both"/>
                        <w:rPr>
                          <w:rFonts w:cs="Calibri" w:cstheme="minorHAnsi"/>
                          <w:b/>
                          <w:b/>
                          <w:sz w:val="20"/>
                          <w:szCs w:val="20"/>
                          <w:u w:val="single"/>
                        </w:rPr>
                      </w:pPr>
                      <w:r>
                        <w:rPr>
                          <w:rFonts w:cs="Calibri" w:cstheme="minorHAnsi"/>
                          <w:b/>
                          <w:sz w:val="20"/>
                          <w:szCs w:val="20"/>
                          <w:u w:val="single"/>
                        </w:rPr>
                      </w:r>
                    </w:p>
                    <w:p>
                      <w:pPr>
                        <w:pStyle w:val="ListParagraph"/>
                        <w:numPr>
                          <w:ilvl w:val="0"/>
                          <w:numId w:val="2"/>
                        </w:numPr>
                        <w:spacing w:before="0" w:after="0"/>
                        <w:contextualSpacing/>
                        <w:jc w:val="both"/>
                        <w:rPr>
                          <w:rFonts w:cs="Calibri" w:cstheme="minorHAnsi"/>
                          <w:sz w:val="20"/>
                          <w:szCs w:val="20"/>
                        </w:rPr>
                      </w:pPr>
                      <w:r>
                        <w:rPr>
                          <w:rFonts w:cs="Calibri" w:cstheme="minorHAnsi"/>
                          <w:sz w:val="20"/>
                          <w:szCs w:val="20"/>
                        </w:rPr>
                        <w:t xml:space="preserve">Ensure </w:t>
                      </w:r>
                      <w:r>
                        <w:rPr>
                          <w:rFonts w:cs="Calibri" w:cstheme="minorHAnsi"/>
                          <w:b/>
                          <w:sz w:val="20"/>
                          <w:szCs w:val="20"/>
                        </w:rPr>
                        <w:t>safety of staff and relatives</w:t>
                      </w:r>
                      <w:r>
                        <w:rPr>
                          <w:rFonts w:cs="Calibri" w:cstheme="minorHAnsi"/>
                          <w:sz w:val="20"/>
                          <w:szCs w:val="20"/>
                        </w:rPr>
                        <w:t xml:space="preserve"> during the outbreak.</w:t>
                      </w:r>
                    </w:p>
                    <w:p>
                      <w:pPr>
                        <w:pStyle w:val="FrameContents"/>
                        <w:jc w:val="both"/>
                        <w:rPr>
                          <w:rFonts w:cs="Calibri" w:cstheme="minorHAnsi"/>
                          <w:sz w:val="20"/>
                          <w:szCs w:val="20"/>
                        </w:rPr>
                      </w:pPr>
                      <w:r>
                        <w:rPr>
                          <w:rFonts w:cs="Calibri" w:cstheme="minorHAnsi"/>
                          <w:sz w:val="20"/>
                          <w:szCs w:val="20"/>
                        </w:rPr>
                      </w:r>
                    </w:p>
                    <w:p>
                      <w:pPr>
                        <w:pStyle w:val="FrameContents"/>
                        <w:jc w:val="both"/>
                        <w:rPr/>
                      </w:pPr>
                      <w:r>
                        <w:rPr>
                          <w:rFonts w:cs="Calibri" w:cstheme="minorHAnsi"/>
                          <w:b/>
                          <w:sz w:val="20"/>
                          <w:szCs w:val="20"/>
                          <w:u w:val="single"/>
                        </w:rPr>
                        <w:t xml:space="preserve">8. </w:t>
                      </w:r>
                      <w:r>
                        <w:rPr>
                          <w:rFonts w:eastAsia="SimSun" w:cs="Calibri" w:cstheme="minorHAnsi"/>
                          <w:b/>
                          <w:bCs/>
                          <w:sz w:val="20"/>
                          <w:szCs w:val="20"/>
                          <w:u w:val="single"/>
                          <w:lang w:eastAsia="ja-JP"/>
                        </w:rPr>
                        <w:t>Office operations: preparedness and business continuity</w:t>
                      </w:r>
                    </w:p>
                  </w:txbxContent>
                </v:textbox>
              </v:rect>
            </w:pict>
          </mc:Fallback>
        </mc:AlternateContent>
      </w:r>
      <w:r>
        <w:rPr>
          <w:rFonts w:eastAsia="ＭＳ ゴシック" w:cs="Calibri" w:cstheme="minorHAnsi" w:eastAsiaTheme="majorEastAsia"/>
          <w:b/>
          <w:bCs/>
          <w:caps/>
          <w:color w:val="099BDD"/>
          <w:spacing w:val="10"/>
          <w:lang w:eastAsia="ja-JP"/>
        </w:rPr>
        <w:t>NOvel Coronavirus program guidance</w:t>
      </w:r>
      <w:r>
        <w:rPr>
          <w:rFonts w:eastAsia="ＭＳ ゴシック" w:cs="Calibri" w:cstheme="minorHAnsi" w:eastAsiaTheme="majorEastAsia"/>
          <w:caps/>
          <w:color w:val="099BDD"/>
          <w:spacing w:val="10"/>
          <w:lang w:eastAsia="ja-JP"/>
        </w:rPr>
        <w:t xml:space="preserve"> </w:t>
      </w:r>
      <w:r>
        <w:rPr>
          <w:rFonts w:eastAsia="ＭＳ ゴシック" w:cs="Calibri" w:cstheme="minorHAnsi" w:eastAsiaTheme="majorEastAsia"/>
          <w:caps/>
          <w:color w:val="099BDD"/>
          <w:spacing w:val="10"/>
          <w:sz w:val="20"/>
          <w:szCs w:val="20"/>
          <w:lang w:eastAsia="ja-JP"/>
        </w:rPr>
        <w:t>– 6</w:t>
      </w:r>
      <w:bookmarkStart w:id="0" w:name="_GoBack"/>
      <w:bookmarkEnd w:id="0"/>
      <w:r>
        <w:rPr>
          <w:rFonts w:eastAsia="ＭＳ ゴシック" w:cs="Calibri" w:cstheme="minorHAnsi" w:eastAsiaTheme="majorEastAsia"/>
          <w:caps/>
          <w:color w:val="099BDD"/>
          <w:spacing w:val="10"/>
          <w:sz w:val="20"/>
          <w:szCs w:val="20"/>
          <w:lang w:eastAsia="ja-JP"/>
        </w:rPr>
        <w:t xml:space="preserve"> february 2020</w:t>
      </w:r>
      <w:r>
        <w:rPr>
          <w:rStyle w:val="FootnoteAnchor"/>
          <w:rStyle w:val="FootnoteAnchor"/>
          <w:rFonts w:eastAsia="ＭＳ ゴシック" w:cs="Calibri" w:cstheme="minorHAnsi" w:eastAsiaTheme="majorEastAsia"/>
          <w:caps/>
          <w:color w:val="099BDD"/>
          <w:spacing w:val="10"/>
          <w:sz w:val="20"/>
          <w:szCs w:val="20"/>
          <w:lang w:eastAsia="ja-JP"/>
        </w:rPr>
        <w:footnoteReference w:id="2"/>
      </w:r>
    </w:p>
    <w:p>
      <w:pPr>
        <w:pStyle w:val="Normal"/>
        <w:jc w:val="both"/>
        <w:rPr>
          <w:rFonts w:cs="Calibri" w:cstheme="minorHAnsi"/>
          <w:b/>
          <w:b/>
          <w:bCs/>
          <w:i/>
          <w:i/>
          <w:iCs/>
          <w:sz w:val="20"/>
          <w:szCs w:val="20"/>
        </w:rPr>
      </w:pPr>
      <w:r>
        <w:rPr>
          <w:rFonts w:cs="Calibri" w:cstheme="minorHAnsi"/>
          <w:b/>
          <w:bCs/>
          <w:i/>
          <w:iCs/>
          <w:sz w:val="20"/>
          <w:szCs w:val="20"/>
        </w:rPr>
      </w:r>
    </w:p>
    <w:p>
      <w:pPr>
        <w:pStyle w:val="Normal"/>
        <w:numPr>
          <w:ilvl w:val="0"/>
          <w:numId w:val="0"/>
        </w:numPr>
        <w:pBdr>
          <w:top w:val="single" w:sz="24" w:space="0" w:color="099BDD"/>
          <w:left w:val="single" w:sz="24" w:space="0" w:color="099BDD"/>
          <w:bottom w:val="single" w:sz="24" w:space="0" w:color="099BDD"/>
          <w:right w:val="single" w:sz="24" w:space="0" w:color="099BDD"/>
        </w:pBdr>
        <w:shd w:val="clear" w:color="auto" w:fill="099BDD"/>
        <w:spacing w:lineRule="atLeast" w:line="225" w:before="120" w:after="0"/>
        <w:outlineLvl w:val="0"/>
        <w:rPr>
          <w:rFonts w:eastAsia="SimSun" w:cs="Calibri" w:cstheme="minorHAnsi"/>
          <w:caps/>
          <w:color w:val="FFFFFF"/>
          <w:spacing w:val="15"/>
          <w:sz w:val="22"/>
          <w:szCs w:val="22"/>
          <w:lang w:eastAsia="ja-JP"/>
        </w:rPr>
      </w:pPr>
      <w:r>
        <w:rPr>
          <w:rFonts w:eastAsia="SimSun" w:cs="Calibri" w:cstheme="minorHAnsi"/>
          <w:caps/>
          <w:color w:val="FFFFFF"/>
          <w:spacing w:val="15"/>
          <w:sz w:val="22"/>
          <w:szCs w:val="22"/>
          <w:lang w:eastAsia="ja-JP"/>
        </w:rPr>
        <w:t>unicef response – scenarios and priority countries</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t xml:space="preserve">Under the leadership of the MoH/government, UNICEF will work with WHO and partners for a coordinated multi-sectoral response, engaging the community to protect children and their families from exposure to novel coronavirus (2019-nCoV), and its impact. </w:t>
      </w:r>
      <w:r>
        <w:rPr>
          <w:rFonts w:eastAsia="SimSun" w:cs="Calibri" w:cstheme="minorHAnsi"/>
          <w:sz w:val="20"/>
          <w:szCs w:val="20"/>
          <w:lang w:eastAsia="ja-JP"/>
        </w:rPr>
        <w:t>Such efforts will also contribute to collectively strengthen public health capacity for other outbreaks, including in particular pandemic influenza</w:t>
      </w:r>
      <w:r>
        <w:rPr>
          <w:rFonts w:eastAsia="SimSun" w:cs="Calibri" w:cstheme="minorHAnsi"/>
          <w:bCs/>
          <w:sz w:val="20"/>
          <w:szCs w:val="20"/>
          <w:lang w:eastAsia="ja-JP"/>
        </w:rPr>
        <w:t>.</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Normal"/>
        <w:jc w:val="both"/>
        <w:rPr>
          <w:rFonts w:eastAsia="SimSun" w:cs="Calibri" w:cstheme="minorHAnsi"/>
          <w:bCs/>
          <w:sz w:val="20"/>
          <w:szCs w:val="20"/>
          <w:lang w:eastAsia="ja-JP"/>
        </w:rPr>
      </w:pPr>
      <w:r>
        <w:rPr>
          <w:rFonts w:eastAsia="SimSun" w:cs="Calibri" w:cstheme="minorHAnsi"/>
          <w:b/>
          <w:bCs/>
          <w:sz w:val="20"/>
          <w:szCs w:val="20"/>
          <w:u w:val="single"/>
          <w:lang w:eastAsia="ja-JP"/>
        </w:rPr>
        <w:t>Scenarios:</w:t>
      </w:r>
      <w:r>
        <w:rPr>
          <w:rFonts w:eastAsia="SimSun" w:cs="Calibri" w:cstheme="minorHAnsi"/>
          <w:b/>
          <w:bCs/>
          <w:sz w:val="20"/>
          <w:szCs w:val="20"/>
          <w:lang w:eastAsia="ja-JP"/>
        </w:rPr>
        <w:t xml:space="preserve"> </w:t>
      </w:r>
      <w:r>
        <w:rPr>
          <w:rFonts w:eastAsia="SimSun" w:cs="Calibri" w:cstheme="minorHAnsi"/>
          <w:bCs/>
          <w:sz w:val="20"/>
          <w:szCs w:val="20"/>
          <w:lang w:eastAsia="ja-JP"/>
        </w:rPr>
        <w:t>The objectives and priority areas for UNICEF intervention are described below for two key scenarios:</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24"/>
        </w:numPr>
        <w:jc w:val="both"/>
        <w:rPr>
          <w:rFonts w:eastAsia="SimSun" w:cs="Calibri" w:cstheme="minorHAnsi"/>
          <w:bCs/>
          <w:sz w:val="20"/>
          <w:szCs w:val="20"/>
          <w:lang w:eastAsia="ja-JP"/>
        </w:rPr>
      </w:pPr>
      <w:r>
        <w:rPr>
          <w:rFonts w:eastAsia="SimSun" w:cs="Calibri" w:cstheme="minorHAnsi"/>
          <w:b/>
          <w:bCs/>
          <w:sz w:val="20"/>
          <w:szCs w:val="20"/>
          <w:lang w:eastAsia="ja-JP"/>
        </w:rPr>
        <w:t>Risk Reduction and Preparedness:</w:t>
      </w:r>
      <w:r>
        <w:rPr>
          <w:rFonts w:eastAsia="SimSun" w:cs="Calibri" w:cstheme="minorHAnsi"/>
          <w:bCs/>
          <w:sz w:val="20"/>
          <w:szCs w:val="20"/>
          <w:lang w:eastAsia="ja-JP"/>
        </w:rPr>
        <w:t xml:space="preserve"> Countries with no cases or only imported cases without local transmission.</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24"/>
        </w:numPr>
        <w:jc w:val="both"/>
        <w:rPr>
          <w:rFonts w:eastAsia="SimSun" w:cs="Calibri" w:cstheme="minorHAnsi"/>
          <w:bCs/>
          <w:sz w:val="20"/>
          <w:szCs w:val="20"/>
          <w:lang w:eastAsia="ja-JP"/>
        </w:rPr>
      </w:pPr>
      <w:r>
        <w:rPr>
          <w:rFonts w:eastAsia="SimSun" w:cs="Calibri" w:cstheme="minorHAnsi"/>
          <w:b/>
          <w:bCs/>
          <w:sz w:val="20"/>
          <w:szCs w:val="20"/>
          <w:lang w:eastAsia="ja-JP"/>
        </w:rPr>
        <w:t>Response:</w:t>
      </w:r>
      <w:r>
        <w:rPr>
          <w:rFonts w:eastAsia="SimSun" w:cs="Calibri" w:cstheme="minorHAnsi"/>
          <w:bCs/>
          <w:sz w:val="20"/>
          <w:szCs w:val="20"/>
          <w:lang w:eastAsia="ja-JP"/>
        </w:rPr>
        <w:t xml:space="preserve"> Countries with local transmission of the virus, or for which there is a weak surveillance system and transmission is suspected (even if not confirmed).</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Normal"/>
        <w:jc w:val="both"/>
        <w:rPr>
          <w:rFonts w:eastAsia="SimSun" w:cs="Calibri" w:cstheme="minorHAnsi"/>
          <w:bCs/>
          <w:sz w:val="20"/>
          <w:szCs w:val="20"/>
          <w:lang w:eastAsia="ja-JP"/>
        </w:rPr>
      </w:pPr>
      <w:r>
        <w:rPr>
          <w:rFonts w:eastAsia="SimSun" w:cs="Calibri" w:cstheme="minorHAnsi"/>
          <w:b/>
          <w:bCs/>
          <w:sz w:val="20"/>
          <w:szCs w:val="20"/>
          <w:u w:val="single"/>
          <w:lang w:eastAsia="ja-JP"/>
        </w:rPr>
        <w:t>Priority countries:</w:t>
      </w:r>
      <w:r>
        <w:rPr>
          <w:rFonts w:eastAsia="SimSun" w:cs="Calibri" w:cstheme="minorHAnsi"/>
          <w:bCs/>
          <w:sz w:val="20"/>
          <w:szCs w:val="20"/>
          <w:lang w:eastAsia="ja-JP"/>
        </w:rPr>
        <w:t xml:space="preserve"> Each Regional Office (RO) will identify priority countries for preparedness and response, in consultation with its Country Offices (CO) and the nCoV Secretariat at HQ. WHO has completed a prioritization exercise</w:t>
      </w:r>
      <w:r>
        <w:rPr>
          <w:rStyle w:val="FootnoteAnchor"/>
          <w:rStyle w:val="FootnoteAnchor"/>
          <w:rFonts w:eastAsia="SimSun" w:cs="Calibri" w:cstheme="minorHAnsi"/>
          <w:bCs/>
          <w:sz w:val="20"/>
          <w:szCs w:val="20"/>
          <w:lang w:eastAsia="ja-JP"/>
        </w:rPr>
        <w:footnoteReference w:id="3"/>
      </w:r>
      <w:r>
        <w:rPr>
          <w:rFonts w:eastAsia="SimSun" w:cs="Calibri" w:cstheme="minorHAnsi"/>
          <w:bCs/>
          <w:sz w:val="20"/>
          <w:szCs w:val="20"/>
          <w:lang w:eastAsia="ja-JP"/>
        </w:rPr>
        <w:t xml:space="preserve"> that can contribute to this decision making, based on three factors:</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25"/>
        </w:numPr>
        <w:jc w:val="both"/>
        <w:rPr>
          <w:rFonts w:eastAsia="SimSun" w:cs="Calibri" w:cstheme="minorHAnsi"/>
          <w:bCs/>
          <w:sz w:val="20"/>
          <w:szCs w:val="20"/>
          <w:lang w:eastAsia="ja-JP"/>
        </w:rPr>
      </w:pPr>
      <w:r>
        <w:rPr>
          <w:rFonts w:eastAsia="SimSun" w:cs="Calibri" w:cstheme="minorHAnsi"/>
          <w:bCs/>
          <w:sz w:val="20"/>
          <w:szCs w:val="20"/>
          <w:lang w:eastAsia="ja-JP"/>
        </w:rPr>
        <w:t>Extent of nCoV transmission: Confirmation of local transmission, imported cases, no cases or suspected undetected cases;</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25"/>
        </w:numPr>
        <w:jc w:val="both"/>
        <w:rPr/>
      </w:pPr>
      <w:r>
        <w:rPr>
          <w:rFonts w:eastAsia="SimSun" w:cs="Calibri" w:cstheme="minorHAnsi"/>
          <w:bCs/>
          <w:sz w:val="20"/>
          <w:szCs w:val="20"/>
          <w:lang w:eastAsia="ja-JP"/>
        </w:rPr>
        <w:t xml:space="preserve">Strength of the surveillance and health system (based on </w:t>
      </w:r>
      <w:hyperlink r:id="rId2">
        <w:r>
          <w:rPr>
            <w:rStyle w:val="InternetLink"/>
            <w:rFonts w:eastAsia="SimSun" w:cs="Calibri" w:cstheme="minorHAnsi"/>
            <w:bCs/>
            <w:sz w:val="20"/>
            <w:szCs w:val="20"/>
            <w:lang w:eastAsia="ja-JP"/>
          </w:rPr>
          <w:t>Joint External Evaluations</w:t>
        </w:r>
      </w:hyperlink>
      <w:r>
        <w:rPr>
          <w:rFonts w:eastAsia="SimSun" w:cs="Calibri" w:cstheme="minorHAnsi"/>
          <w:bCs/>
          <w:sz w:val="20"/>
          <w:szCs w:val="20"/>
          <w:lang w:eastAsia="ja-JP"/>
        </w:rPr>
        <w:t xml:space="preserve"> implemented as part of the </w:t>
      </w:r>
      <w:hyperlink r:id="rId3">
        <w:r>
          <w:rPr>
            <w:rStyle w:val="InternetLink"/>
            <w:rFonts w:eastAsia="SimSun" w:cs="Calibri" w:cstheme="minorHAnsi"/>
            <w:bCs/>
            <w:sz w:val="20"/>
            <w:szCs w:val="20"/>
            <w:lang w:eastAsia="ja-JP"/>
          </w:rPr>
          <w:t>IHR Monitoring and Evaluation Framework</w:t>
        </w:r>
      </w:hyperlink>
      <w:r>
        <w:rPr>
          <w:rFonts w:eastAsia="SimSun" w:cs="Calibri" w:cstheme="minorHAnsi"/>
          <w:bCs/>
          <w:sz w:val="20"/>
          <w:szCs w:val="20"/>
          <w:lang w:eastAsia="ja-JP"/>
        </w:rPr>
        <w:t xml:space="preserve"> in recent years);</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25"/>
        </w:numPr>
        <w:jc w:val="both"/>
        <w:rPr>
          <w:rFonts w:eastAsia="SimSun" w:cs="Calibri" w:cstheme="minorHAnsi"/>
          <w:bCs/>
          <w:sz w:val="20"/>
          <w:szCs w:val="20"/>
          <w:lang w:eastAsia="ja-JP"/>
        </w:rPr>
      </w:pPr>
      <w:r>
        <w:rPr>
          <w:rFonts w:eastAsia="SimSun" w:cs="Calibri" w:cstheme="minorHAnsi"/>
          <w:bCs/>
          <w:sz w:val="20"/>
          <w:szCs w:val="20"/>
          <w:lang w:eastAsia="ja-JP"/>
        </w:rPr>
        <w:t>Human movement between China and each country in 2019.</w:t>
      </w:r>
    </w:p>
    <w:p>
      <w:pPr>
        <w:pStyle w:val="ListParagraph"/>
        <w:rPr>
          <w:rFonts w:eastAsia="SimSun" w:cs="Calibri" w:cstheme="minorHAnsi"/>
          <w:bCs/>
          <w:sz w:val="20"/>
          <w:szCs w:val="20"/>
          <w:lang w:eastAsia="ja-JP"/>
        </w:rPr>
      </w:pPr>
      <w:r>
        <w:rPr>
          <w:rFonts w:eastAsia="SimSun" w:cs="Calibri" w:cstheme="minorHAnsi"/>
          <w:bCs/>
          <w:sz w:val="20"/>
          <w:szCs w:val="20"/>
          <w:lang w:eastAsia="ja-JP"/>
        </w:rPr>
      </w:r>
    </w:p>
    <w:p>
      <w:pPr>
        <w:pStyle w:val="Normal"/>
        <w:jc w:val="both"/>
        <w:rPr>
          <w:rFonts w:eastAsia="SimSun" w:cs="Calibri" w:cstheme="minorHAnsi"/>
          <w:bCs/>
          <w:sz w:val="20"/>
          <w:szCs w:val="20"/>
          <w:lang w:eastAsia="ja-JP"/>
        </w:rPr>
      </w:pPr>
      <w:r>
        <w:rPr>
          <w:rFonts w:eastAsia="SimSun" w:cs="Calibri" w:cstheme="minorHAnsi"/>
          <w:b/>
          <w:bCs/>
          <w:sz w:val="20"/>
          <w:szCs w:val="20"/>
          <w:u w:val="single"/>
          <w:lang w:eastAsia="ja-JP"/>
        </w:rPr>
        <w:t>Objectives:</w:t>
      </w:r>
      <w:r>
        <w:rPr>
          <w:rFonts w:eastAsia="SimSun" w:cs="Calibri" w:cstheme="minorHAnsi"/>
          <w:bCs/>
          <w:sz w:val="20"/>
          <w:szCs w:val="20"/>
          <w:lang w:eastAsia="ja-JP"/>
        </w:rPr>
        <w:t xml:space="preserve"> The UNICEF response to 2019-nCoV is articulated around the following objectives, which can be adapted to specific scenarios and contexts:</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1"/>
        </w:numPr>
        <w:jc w:val="both"/>
        <w:rPr>
          <w:rFonts w:eastAsia="SimSun" w:cs="Calibri" w:cstheme="minorHAnsi"/>
          <w:bCs/>
          <w:sz w:val="20"/>
          <w:szCs w:val="20"/>
          <w:lang w:eastAsia="ja-JP"/>
        </w:rPr>
      </w:pPr>
      <w:r>
        <w:rPr>
          <w:rFonts w:eastAsia="SimSun" w:cs="Calibri" w:cstheme="minorHAnsi"/>
          <w:bCs/>
          <w:sz w:val="20"/>
          <w:szCs w:val="20"/>
          <w:lang w:eastAsia="ja-JP"/>
        </w:rPr>
        <w:t>Enhance preparedness and country capacity</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1"/>
        </w:numPr>
        <w:jc w:val="both"/>
        <w:rPr>
          <w:rFonts w:eastAsia="SimSun" w:cs="Calibri" w:cstheme="minorHAnsi"/>
          <w:bCs/>
          <w:sz w:val="20"/>
          <w:szCs w:val="20"/>
          <w:lang w:eastAsia="ja-JP"/>
        </w:rPr>
      </w:pPr>
      <w:r>
        <w:rPr>
          <w:rFonts w:eastAsia="SimSun" w:cs="Calibri" w:cstheme="minorHAnsi"/>
          <w:bCs/>
          <w:sz w:val="20"/>
          <w:szCs w:val="20"/>
          <w:lang w:eastAsia="ja-JP"/>
        </w:rPr>
        <w:t>Support partner coordination at the country level</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1"/>
        </w:numPr>
        <w:jc w:val="both"/>
        <w:rPr>
          <w:rFonts w:eastAsia="SimSun" w:cs="Calibri" w:cstheme="minorHAnsi"/>
          <w:bCs/>
          <w:sz w:val="20"/>
          <w:szCs w:val="20"/>
          <w:lang w:eastAsia="ja-JP"/>
        </w:rPr>
      </w:pPr>
      <w:r>
        <w:rPr>
          <w:rFonts w:eastAsia="SimSun" w:cs="Calibri" w:cstheme="minorHAnsi"/>
          <w:bCs/>
          <w:sz w:val="20"/>
          <w:szCs w:val="20"/>
          <w:lang w:eastAsia="ja-JP"/>
        </w:rPr>
        <w:t>Limit human-to-human transmission and protect individuals from exposure to nCoV</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1"/>
        </w:numPr>
        <w:jc w:val="both"/>
        <w:rPr>
          <w:rFonts w:eastAsia="SimSun" w:cs="Calibri" w:cstheme="minorHAnsi"/>
          <w:bCs/>
          <w:sz w:val="20"/>
          <w:szCs w:val="20"/>
          <w:lang w:eastAsia="ja-JP"/>
        </w:rPr>
      </w:pPr>
      <w:r>
        <w:rPr>
          <w:rFonts w:eastAsia="SimSun" w:cs="Calibri" w:cstheme="minorHAnsi"/>
          <w:bCs/>
          <w:sz w:val="20"/>
          <w:szCs w:val="20"/>
          <w:lang w:eastAsia="ja-JP"/>
        </w:rPr>
        <w:t>Minimize morbidity and mortality due to nCoV</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1"/>
        </w:numPr>
        <w:jc w:val="both"/>
        <w:rPr>
          <w:rFonts w:eastAsia="SimSun" w:cs="Calibri" w:cstheme="minorHAnsi"/>
          <w:bCs/>
          <w:sz w:val="20"/>
          <w:szCs w:val="20"/>
          <w:lang w:eastAsia="ja-JP"/>
        </w:rPr>
      </w:pPr>
      <w:r>
        <w:rPr>
          <w:rFonts w:eastAsia="SimSun" w:cs="Calibri" w:cstheme="minorHAnsi"/>
          <w:bCs/>
          <w:sz w:val="20"/>
          <w:szCs w:val="20"/>
          <w:lang w:eastAsia="ja-JP"/>
        </w:rPr>
        <w:t>Provide appropriate supplies and equipment to control the outbreak and support the health system</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1"/>
        </w:numPr>
        <w:jc w:val="both"/>
        <w:rPr>
          <w:rFonts w:eastAsia="SimSun" w:cs="Calibri" w:cstheme="minorHAnsi"/>
          <w:bCs/>
          <w:sz w:val="20"/>
          <w:szCs w:val="20"/>
          <w:lang w:eastAsia="ja-JP"/>
        </w:rPr>
      </w:pPr>
      <w:r>
        <w:rPr>
          <w:rFonts w:eastAsia="SimSun" w:cs="Calibri" w:cstheme="minorHAnsi"/>
          <w:bCs/>
          <w:sz w:val="20"/>
          <w:szCs w:val="20"/>
          <w:lang w:eastAsia="ja-JP"/>
        </w:rPr>
        <w:t>Prevent and address the secondary impact of the outbreak – minimize the human consequences of the outbreak</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1"/>
        </w:numPr>
        <w:jc w:val="both"/>
        <w:rPr>
          <w:rFonts w:eastAsia="SimSun" w:cs="Calibri" w:cstheme="minorHAnsi"/>
          <w:bCs/>
          <w:sz w:val="20"/>
          <w:szCs w:val="20"/>
          <w:lang w:eastAsia="ja-JP"/>
        </w:rPr>
      </w:pPr>
      <w:r>
        <w:rPr>
          <w:rFonts w:eastAsia="SimSun" w:cs="Calibri" w:cstheme="minorHAnsi"/>
          <w:bCs/>
          <w:sz w:val="20"/>
          <w:szCs w:val="20"/>
          <w:lang w:eastAsia="ja-JP"/>
        </w:rPr>
        <w:t>Ensure staff safety and duty of care</w:t>
      </w:r>
    </w:p>
    <w:p>
      <w:pPr>
        <w:pStyle w:val="ListParagrap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1"/>
        </w:numPr>
        <w:jc w:val="both"/>
        <w:rPr>
          <w:rFonts w:eastAsia="SimSun" w:cs="Calibri" w:cstheme="minorHAnsi"/>
          <w:bCs/>
          <w:sz w:val="20"/>
          <w:szCs w:val="20"/>
          <w:lang w:eastAsia="ja-JP"/>
        </w:rPr>
      </w:pPr>
      <w:r>
        <w:rPr>
          <w:rFonts w:eastAsia="SimSun" w:cs="Calibri" w:cstheme="minorHAnsi"/>
          <w:bCs/>
          <w:sz w:val="20"/>
          <w:szCs w:val="20"/>
          <w:lang w:eastAsia="ja-JP"/>
        </w:rPr>
        <w:t>Office operations: preparedness and business continuity</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Normal"/>
        <w:spacing w:lineRule="auto" w:line="276" w:before="0" w:after="200"/>
        <w:rPr>
          <w:rFonts w:cs="Calibri" w:cstheme="minorHAnsi"/>
          <w:b/>
          <w:b/>
          <w:sz w:val="20"/>
          <w:szCs w:val="20"/>
        </w:rPr>
      </w:pPr>
      <w:r>
        <w:rPr>
          <w:rFonts w:cs="Calibri" w:cstheme="minorHAnsi"/>
          <w:b/>
          <w:sz w:val="20"/>
          <w:szCs w:val="20"/>
        </w:rPr>
      </w:r>
      <w:r>
        <w:br w:type="page"/>
      </w:r>
    </w:p>
    <w:p>
      <w:pPr>
        <w:pStyle w:val="Normal"/>
        <w:jc w:val="both"/>
        <w:rPr>
          <w:rFonts w:cs="Calibri" w:cstheme="minorHAnsi"/>
          <w:b/>
          <w:b/>
          <w:sz w:val="20"/>
          <w:szCs w:val="20"/>
        </w:rPr>
      </w:pPr>
      <w:r>
        <w:rPr>
          <w:rFonts w:cs="Calibri" w:cstheme="minorHAnsi"/>
          <w:b/>
          <w:sz w:val="20"/>
          <w:szCs w:val="20"/>
        </w:rPr>
      </w:r>
    </w:p>
    <w:p>
      <w:pPr>
        <w:pStyle w:val="Normal"/>
        <w:numPr>
          <w:ilvl w:val="0"/>
          <w:numId w:val="0"/>
        </w:numPr>
        <w:pBdr>
          <w:top w:val="single" w:sz="24" w:space="0" w:color="099BDD"/>
          <w:left w:val="single" w:sz="24" w:space="0" w:color="099BDD"/>
          <w:bottom w:val="single" w:sz="24" w:space="0" w:color="099BDD"/>
          <w:right w:val="single" w:sz="24" w:space="0" w:color="099BDD"/>
        </w:pBdr>
        <w:shd w:val="clear" w:color="auto" w:fill="099BDD"/>
        <w:spacing w:lineRule="atLeast" w:line="225" w:before="120" w:after="0"/>
        <w:outlineLvl w:val="0"/>
        <w:rPr>
          <w:rFonts w:eastAsia="SimSun" w:cs="Calibri" w:cstheme="minorHAnsi"/>
          <w:caps/>
          <w:color w:val="FFFFFF"/>
          <w:spacing w:val="15"/>
          <w:sz w:val="22"/>
          <w:szCs w:val="22"/>
          <w:lang w:eastAsia="ja-JP"/>
        </w:rPr>
      </w:pPr>
      <w:r>
        <w:rPr>
          <w:rFonts w:eastAsia="SimSun" w:cs="Calibri" w:cstheme="minorHAnsi"/>
          <w:caps/>
          <w:color w:val="FFFFFF"/>
          <w:spacing w:val="15"/>
          <w:sz w:val="22"/>
          <w:szCs w:val="22"/>
          <w:lang w:eastAsia="ja-JP"/>
        </w:rPr>
        <w:t xml:space="preserve">unicef actions for </w:t>
      </w:r>
      <w:r>
        <w:rPr>
          <w:rFonts w:eastAsia="SimSun" w:cs="Calibri" w:cstheme="minorHAnsi"/>
          <w:b/>
          <w:caps/>
          <w:color w:val="FFFFFF"/>
          <w:spacing w:val="15"/>
          <w:sz w:val="22"/>
          <w:szCs w:val="22"/>
          <w:lang w:eastAsia="ja-JP"/>
        </w:rPr>
        <w:t>preparedness</w:t>
      </w:r>
      <w:r>
        <w:rPr>
          <w:rFonts w:eastAsia="SimSun" w:cs="Calibri" w:cstheme="minorHAnsi"/>
          <w:caps/>
          <w:color w:val="FFFFFF"/>
          <w:spacing w:val="15"/>
          <w:sz w:val="22"/>
          <w:szCs w:val="22"/>
          <w:lang w:eastAsia="ja-JP"/>
        </w:rPr>
        <w:t xml:space="preserve"> against 2019-ncov</w:t>
      </w:r>
    </w:p>
    <w:p>
      <w:pPr>
        <w:pStyle w:val="Normal"/>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1. Enhance preparedness and country capacity</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numPr>
          <w:ilvl w:val="0"/>
          <w:numId w:val="3"/>
        </w:numPr>
        <w:shd w:val="clear" w:color="auto" w:fill="FFFFFF"/>
        <w:spacing w:lineRule="atLeast" w:line="225" w:before="0" w:after="150"/>
        <w:jc w:val="both"/>
        <w:rPr/>
      </w:pPr>
      <w:r>
        <w:rPr>
          <w:rFonts w:eastAsia="SimSun" w:cs="Calibri" w:cstheme="minorHAnsi"/>
          <w:b/>
          <w:color w:val="000000" w:themeColor="text1"/>
          <w:sz w:val="20"/>
          <w:szCs w:val="20"/>
        </w:rPr>
        <w:t>Advocate</w:t>
      </w:r>
      <w:r>
        <w:rPr>
          <w:rFonts w:eastAsia="SimSun" w:cs="Calibri" w:cstheme="minorHAnsi"/>
          <w:color w:val="000000" w:themeColor="text1"/>
          <w:sz w:val="20"/>
          <w:szCs w:val="20"/>
        </w:rPr>
        <w:t xml:space="preserve"> for national risk reduction and preparedness planning (see </w:t>
      </w:r>
      <w:hyperlink r:id="rId4">
        <w:r>
          <w:rPr>
            <w:rStyle w:val="InternetLink"/>
            <w:rFonts w:eastAsia="Calibri" w:cs="Calibri" w:cstheme="minorHAnsi"/>
            <w:bCs/>
            <w:sz w:val="20"/>
            <w:szCs w:val="20"/>
          </w:rPr>
          <w:t>WHO National capacities review tool for a novel coronavirus (nCoV)</w:t>
        </w:r>
      </w:hyperlink>
      <w:r>
        <w:rPr>
          <w:rFonts w:eastAsia="Calibri" w:cs="Calibri" w:cstheme="minorHAnsi"/>
          <w:bCs/>
          <w:sz w:val="20"/>
          <w:szCs w:val="20"/>
        </w:rPr>
        <w:t>)</w:t>
      </w:r>
      <w:r>
        <w:rPr>
          <w:rFonts w:eastAsia="SimSun" w:cs="Calibri" w:cstheme="minorHAnsi"/>
          <w:color w:val="000000" w:themeColor="text1"/>
          <w:sz w:val="20"/>
          <w:szCs w:val="20"/>
        </w:rPr>
        <w:t xml:space="preserve">, and resource mobilization for the strengthening of IHR core capacities (based on </w:t>
      </w:r>
      <w:hyperlink r:id="rId5">
        <w:r>
          <w:rPr>
            <w:rStyle w:val="InternetLink"/>
            <w:rFonts w:eastAsia="SimSun" w:cs="Calibri" w:cstheme="minorHAnsi"/>
            <w:sz w:val="20"/>
            <w:szCs w:val="20"/>
          </w:rPr>
          <w:t>JEE</w:t>
        </w:r>
      </w:hyperlink>
      <w:r>
        <w:rPr>
          <w:rFonts w:eastAsia="SimSun" w:cs="Calibri" w:cstheme="minorHAnsi"/>
          <w:color w:val="000000" w:themeColor="text1"/>
          <w:sz w:val="20"/>
          <w:szCs w:val="20"/>
        </w:rPr>
        <w:t xml:space="preserve">, </w:t>
      </w:r>
      <w:hyperlink r:id="rId6">
        <w:r>
          <w:rPr>
            <w:rStyle w:val="InternetLink"/>
            <w:rFonts w:eastAsia="SimSun" w:cs="Calibri" w:cstheme="minorHAnsi"/>
            <w:sz w:val="20"/>
            <w:szCs w:val="20"/>
          </w:rPr>
          <w:t>Self-Assessment Annual Reporting</w:t>
        </w:r>
      </w:hyperlink>
      <w:r>
        <w:rPr>
          <w:rFonts w:eastAsia="SimSun" w:cs="Calibri" w:cstheme="minorHAnsi"/>
          <w:color w:val="000000" w:themeColor="text1"/>
          <w:sz w:val="20"/>
          <w:szCs w:val="20"/>
        </w:rPr>
        <w:t xml:space="preserve">, </w:t>
      </w:r>
      <w:hyperlink r:id="rId7">
        <w:r>
          <w:rPr>
            <w:rStyle w:val="InternetLink"/>
            <w:rFonts w:eastAsia="SimSun" w:cs="Calibri" w:cstheme="minorHAnsi"/>
            <w:sz w:val="20"/>
            <w:szCs w:val="20"/>
          </w:rPr>
          <w:t>National Action Plan for Health Security</w:t>
        </w:r>
      </w:hyperlink>
      <w:r>
        <w:rPr>
          <w:rFonts w:eastAsia="SimSun" w:cs="Calibri" w:cstheme="minorHAnsi"/>
          <w:color w:val="000000" w:themeColor="text1"/>
          <w:sz w:val="20"/>
          <w:szCs w:val="20"/>
        </w:rPr>
        <w:t xml:space="preserve">, risks assessment and epidemic trends), including timely sharing of information and advice, availability of </w:t>
      </w:r>
      <w:r>
        <w:rPr>
          <w:rFonts w:cs="Calibri" w:cstheme="minorHAnsi"/>
          <w:color w:val="000000" w:themeColor="text1"/>
          <w:sz w:val="20"/>
          <w:szCs w:val="20"/>
        </w:rPr>
        <w:t>diagnostics (including lab capacity and reagents), personal protective equipment, prevention, treatment and referral services (including patient transportation).</w:t>
      </w:r>
      <w:r>
        <w:rPr>
          <w:rFonts w:eastAsia="SimSun" w:cs="Calibri" w:cstheme="minorHAnsi"/>
          <w:color w:val="000000" w:themeColor="text1"/>
          <w:sz w:val="20"/>
          <w:szCs w:val="20"/>
        </w:rPr>
        <w:t xml:space="preserve"> </w:t>
      </w:r>
    </w:p>
    <w:p>
      <w:pPr>
        <w:pStyle w:val="Normal"/>
        <w:numPr>
          <w:ilvl w:val="0"/>
          <w:numId w:val="3"/>
        </w:numPr>
        <w:shd w:val="clear" w:color="auto" w:fill="FFFFFF"/>
        <w:spacing w:lineRule="atLeast" w:line="225" w:before="0" w:after="150"/>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Contribute to </w:t>
      </w:r>
      <w:r>
        <w:rPr>
          <w:rFonts w:eastAsia="SimSun" w:cs="Calibri" w:cstheme="minorHAnsi"/>
          <w:b/>
          <w:color w:val="000000" w:themeColor="text1"/>
          <w:sz w:val="20"/>
          <w:szCs w:val="20"/>
        </w:rPr>
        <w:t>national preparedness planning</w:t>
      </w:r>
      <w:r>
        <w:rPr>
          <w:rFonts w:eastAsia="SimSun" w:cs="Calibri" w:cstheme="minorHAnsi"/>
          <w:color w:val="000000" w:themeColor="text1"/>
          <w:sz w:val="20"/>
          <w:szCs w:val="20"/>
        </w:rPr>
        <w:t xml:space="preserve"> for nCoV, including the development of an </w:t>
      </w:r>
      <w:r>
        <w:rPr>
          <w:rFonts w:eastAsia="SimSun" w:cs="Calibri" w:cstheme="minorHAnsi"/>
          <w:b/>
          <w:color w:val="000000" w:themeColor="text1"/>
          <w:sz w:val="20"/>
          <w:szCs w:val="20"/>
        </w:rPr>
        <w:t>inter-agency Strategic Response Plan</w:t>
      </w:r>
      <w:r>
        <w:rPr>
          <w:rFonts w:eastAsia="SimSun" w:cs="Calibri" w:cstheme="minorHAnsi"/>
          <w:color w:val="000000" w:themeColor="text1"/>
          <w:sz w:val="20"/>
          <w:szCs w:val="20"/>
        </w:rPr>
        <w:t xml:space="preserve">, especially for pillars where UNICEF may play a lead/co-lead role (RCCE, WASH/IPC, community health, psychosocial support (PSS), etc.). </w:t>
      </w:r>
    </w:p>
    <w:p>
      <w:pPr>
        <w:pStyle w:val="Normal"/>
        <w:numPr>
          <w:ilvl w:val="0"/>
          <w:numId w:val="3"/>
        </w:numPr>
        <w:shd w:val="clear" w:color="auto" w:fill="FFFFFF"/>
        <w:spacing w:lineRule="atLeast" w:line="225" w:before="0" w:after="150"/>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Participate in </w:t>
      </w:r>
      <w:r>
        <w:rPr>
          <w:rFonts w:eastAsia="SimSun" w:cs="Calibri" w:cstheme="minorHAnsi"/>
          <w:b/>
          <w:color w:val="000000" w:themeColor="text1"/>
          <w:sz w:val="20"/>
          <w:szCs w:val="20"/>
        </w:rPr>
        <w:t>simulation exercises</w:t>
      </w:r>
      <w:r>
        <w:rPr>
          <w:rFonts w:eastAsia="SimSun" w:cs="Calibri" w:cstheme="minorHAnsi"/>
          <w:color w:val="000000" w:themeColor="text1"/>
          <w:sz w:val="20"/>
          <w:szCs w:val="20"/>
        </w:rPr>
        <w:t xml:space="preserve"> to test response plans and identify gaps, including supporting the government to prepare national/sub-national multi-sectoral coordination mechanisms (taskforces, IMS/EOC, response pillars) and emergency procedures. </w:t>
      </w:r>
    </w:p>
    <w:p>
      <w:pPr>
        <w:pStyle w:val="Normal"/>
        <w:numPr>
          <w:ilvl w:val="0"/>
          <w:numId w:val="3"/>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Participate in </w:t>
      </w:r>
      <w:r>
        <w:rPr>
          <w:rFonts w:eastAsia="SimSun" w:cs="Calibri" w:cstheme="minorHAnsi"/>
          <w:b/>
          <w:color w:val="000000" w:themeColor="text1"/>
          <w:sz w:val="20"/>
          <w:szCs w:val="20"/>
        </w:rPr>
        <w:t>national multi-sectoral outbreak risk monitoring, analysis and mapping, bringing in all relevant sectors</w:t>
      </w:r>
      <w:r>
        <w:rPr>
          <w:rFonts w:eastAsia="SimSun" w:cs="Calibri" w:cstheme="minorHAnsi"/>
          <w:color w:val="000000" w:themeColor="text1"/>
          <w:sz w:val="20"/>
          <w:szCs w:val="20"/>
        </w:rPr>
        <w:t xml:space="preserve">: </w:t>
      </w:r>
    </w:p>
    <w:p>
      <w:pPr>
        <w:pStyle w:val="Normal"/>
        <w:numPr>
          <w:ilvl w:val="1"/>
          <w:numId w:val="3"/>
        </w:numPr>
        <w:spacing w:lineRule="auto" w:line="276" w:before="0" w:after="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Surveillance, diagnostic/lab capacity (including community-based surveillance where appropriate, and specific guidance for detection of nCoV infection among children and pregnant women, as appropriate)</w:t>
      </w:r>
    </w:p>
    <w:p>
      <w:pPr>
        <w:pStyle w:val="Normal"/>
        <w:numPr>
          <w:ilvl w:val="1"/>
          <w:numId w:val="3"/>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Infection prevention and control (IPC) capacity (including public, private, traditional practitioners, pharmacies as appropriate)</w:t>
      </w:r>
    </w:p>
    <w:p>
      <w:pPr>
        <w:pStyle w:val="Normal"/>
        <w:numPr>
          <w:ilvl w:val="1"/>
          <w:numId w:val="3"/>
        </w:numPr>
        <w:spacing w:lineRule="auto" w:line="276" w:before="0" w:after="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Case management capacity (including as appropriate, holistic care of children and pregnant women infected)</w:t>
      </w:r>
    </w:p>
    <w:p>
      <w:pPr>
        <w:pStyle w:val="Normal"/>
        <w:numPr>
          <w:ilvl w:val="1"/>
          <w:numId w:val="3"/>
        </w:numPr>
        <w:spacing w:lineRule="auto" w:line="276" w:before="0" w:after="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Risk communication and community engagement (RCCE) capacity</w:t>
      </w:r>
    </w:p>
    <w:p>
      <w:pPr>
        <w:pStyle w:val="Normal"/>
        <w:numPr>
          <w:ilvl w:val="1"/>
          <w:numId w:val="3"/>
        </w:numPr>
        <w:spacing w:lineRule="auto" w:line="276" w:before="0" w:after="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Population movement</w:t>
      </w:r>
    </w:p>
    <w:p>
      <w:pPr>
        <w:pStyle w:val="Normal"/>
        <w:numPr>
          <w:ilvl w:val="1"/>
          <w:numId w:val="3"/>
        </w:numPr>
        <w:spacing w:lineRule="auto" w:line="276" w:before="0" w:after="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Cultural/behavioral patterns</w:t>
      </w:r>
    </w:p>
    <w:p>
      <w:pPr>
        <w:pStyle w:val="Normal"/>
        <w:numPr>
          <w:ilvl w:val="1"/>
          <w:numId w:val="3"/>
        </w:numPr>
        <w:spacing w:lineRule="auto" w:line="276" w:before="0" w:after="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Nutritional status of affected populations </w:t>
      </w:r>
    </w:p>
    <w:p>
      <w:pPr>
        <w:pStyle w:val="Normal"/>
        <w:spacing w:lineRule="auto" w:line="276" w:before="0" w:after="0"/>
        <w:ind w:left="1080" w:hanging="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ListParagraph"/>
        <w:numPr>
          <w:ilvl w:val="0"/>
          <w:numId w:val="3"/>
        </w:numPr>
        <w:jc w:val="both"/>
        <w:rPr>
          <w:rFonts w:cs="Calibri" w:cstheme="minorHAnsi"/>
          <w:b/>
          <w:b/>
          <w:color w:val="000000" w:themeColor="text1"/>
        </w:rPr>
      </w:pPr>
      <w:r>
        <w:rPr>
          <w:rFonts w:cs="Calibri" w:cstheme="minorHAnsi"/>
          <w:b/>
          <w:color w:val="000000" w:themeColor="text1"/>
          <w:sz w:val="20"/>
          <w:szCs w:val="20"/>
        </w:rPr>
        <w:t xml:space="preserve">Identify vulnerable populations at-risk and conduct gender analysis to asses how the outbreak and preparedness actions affect women/girls and men/boys differently </w:t>
      </w:r>
      <w:r>
        <w:rPr>
          <w:rFonts w:eastAsia="SimSun" w:cs="Calibri" w:cstheme="minorHAnsi"/>
          <w:color w:val="000000" w:themeColor="text1"/>
          <w:sz w:val="20"/>
          <w:szCs w:val="20"/>
        </w:rPr>
        <w:t>(marginalized, hard-to-reach, poor access to services, etc.) for targeting public health and humanitarian interventions, as necessary</w:t>
      </w:r>
    </w:p>
    <w:p>
      <w:pPr>
        <w:pStyle w:val="ListParagraph"/>
        <w:numPr>
          <w:ilvl w:val="0"/>
          <w:numId w:val="3"/>
        </w:numPr>
        <w:jc w:val="both"/>
        <w:rPr/>
      </w:pPr>
      <w:r>
        <w:rPr>
          <w:rFonts w:eastAsia="SimSun" w:cs="Calibri" w:cstheme="minorHAnsi"/>
          <w:b/>
          <w:color w:val="000000" w:themeColor="text1"/>
          <w:sz w:val="20"/>
          <w:szCs w:val="20"/>
        </w:rPr>
        <w:t xml:space="preserve">In the </w:t>
      </w:r>
      <w:hyperlink r:id="rId8">
        <w:r>
          <w:rPr>
            <w:rStyle w:val="InternetLink"/>
            <w:rFonts w:eastAsia="SimSun" w:cs="Calibri" w:cstheme="minorHAnsi"/>
            <w:b/>
            <w:sz w:val="20"/>
            <w:szCs w:val="20"/>
          </w:rPr>
          <w:t>Emergency Preparedness Platform (EPP)</w:t>
        </w:r>
      </w:hyperlink>
      <w:r>
        <w:rPr>
          <w:rFonts w:eastAsia="SimSun" w:cs="Calibri" w:cstheme="minorHAnsi"/>
          <w:b/>
          <w:color w:val="000000" w:themeColor="text1"/>
          <w:sz w:val="20"/>
          <w:szCs w:val="20"/>
        </w:rPr>
        <w:t>, update the UNICEF Country Office (CO) preparedness and response plans</w:t>
      </w:r>
      <w:r>
        <w:rPr>
          <w:rFonts w:eastAsia="SimSun" w:cs="Calibri" w:cstheme="minorHAnsi"/>
          <w:color w:val="000000" w:themeColor="text1"/>
          <w:sz w:val="20"/>
          <w:szCs w:val="20"/>
        </w:rPr>
        <w:t xml:space="preserve"> for nCoV with scenario-based multi-sectoral contingency plans. Conduct </w:t>
      </w:r>
      <w:r>
        <w:rPr>
          <w:rFonts w:eastAsia="SimSun" w:cs="Calibri" w:cstheme="minorHAnsi"/>
          <w:b/>
          <w:color w:val="000000" w:themeColor="text1"/>
          <w:sz w:val="20"/>
          <w:szCs w:val="20"/>
        </w:rPr>
        <w:t>simulation exercises</w:t>
      </w:r>
      <w:r>
        <w:rPr>
          <w:rFonts w:eastAsia="SimSun" w:cs="Calibri" w:cstheme="minorHAnsi"/>
          <w:color w:val="000000" w:themeColor="text1"/>
          <w:sz w:val="20"/>
          <w:szCs w:val="20"/>
        </w:rPr>
        <w:t xml:space="preserve"> to test response plans, assess and strengthen capacity across the sectors and identify gaps in meeting the Minimum preparedness Actions (MPAs) &amp; Minimum Preparedness Standards (MPS) based on Country Risk Index. </w:t>
      </w:r>
    </w:p>
    <w:p>
      <w:pPr>
        <w:pStyle w:val="ListParagraph"/>
        <w:ind w:left="360" w:hanging="0"/>
        <w:jc w:val="both"/>
        <w:rPr>
          <w:rFonts w:cs="Calibri" w:cstheme="minorHAnsi"/>
          <w:b/>
          <w:b/>
          <w:color w:val="000000" w:themeColor="text1"/>
        </w:rPr>
      </w:pPr>
      <w:r>
        <w:rPr>
          <w:rFonts w:cs="Calibri" w:cstheme="minorHAnsi"/>
          <w:b/>
          <w:color w:val="000000" w:themeColor="text1"/>
        </w:rPr>
      </w:r>
    </w:p>
    <w:p>
      <w:pPr>
        <w:pStyle w:val="Normal"/>
        <w:numPr>
          <w:ilvl w:val="0"/>
          <w:numId w:val="26"/>
        </w:numPr>
        <w:shd w:val="clear" w:color="auto" w:fill="FFFFFF"/>
        <w:spacing w:lineRule="atLeast" w:line="225" w:before="0" w:after="150"/>
        <w:jc w:val="both"/>
        <w:rPr>
          <w:rFonts w:eastAsia="SimSun" w:cs="Calibri" w:cstheme="minorHAnsi"/>
          <w:b/>
          <w:b/>
          <w:color w:val="000000" w:themeColor="text1"/>
          <w:sz w:val="20"/>
          <w:szCs w:val="20"/>
        </w:rPr>
      </w:pPr>
      <w:r>
        <w:rPr>
          <w:rFonts w:eastAsia="SimSun" w:cs="Calibri" w:cstheme="minorHAnsi"/>
          <w:b/>
          <w:color w:val="000000" w:themeColor="text1"/>
          <w:sz w:val="20"/>
          <w:szCs w:val="20"/>
        </w:rPr>
        <w:t>Training and guidance</w:t>
      </w:r>
    </w:p>
    <w:p>
      <w:pPr>
        <w:pStyle w:val="Normal"/>
        <w:numPr>
          <w:ilvl w:val="1"/>
          <w:numId w:val="3"/>
        </w:numPr>
        <w:shd w:val="clear" w:color="auto" w:fill="FFFFFF"/>
        <w:spacing w:lineRule="atLeast" w:line="225" w:before="0" w:after="150"/>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In collaboration with WHO and partners, provide technical support to the MoH, relevant ministries and partners to </w:t>
      </w:r>
      <w:r>
        <w:rPr>
          <w:rFonts w:eastAsia="SimSun" w:cs="Calibri" w:cstheme="minorHAnsi"/>
          <w:b/>
          <w:color w:val="000000" w:themeColor="text1"/>
          <w:sz w:val="20"/>
          <w:szCs w:val="20"/>
        </w:rPr>
        <w:t>develop/update guidelines and training materials</w:t>
      </w:r>
      <w:r>
        <w:rPr>
          <w:rFonts w:eastAsia="SimSun" w:cs="Calibri" w:cstheme="minorHAnsi"/>
          <w:color w:val="000000" w:themeColor="text1"/>
          <w:sz w:val="20"/>
          <w:szCs w:val="20"/>
        </w:rPr>
        <w:t xml:space="preserve"> as necessary, and </w:t>
      </w:r>
      <w:r>
        <w:rPr>
          <w:rFonts w:eastAsia="SimSun" w:cs="Calibri" w:cstheme="minorHAnsi"/>
          <w:b/>
          <w:color w:val="000000" w:themeColor="text1"/>
          <w:sz w:val="20"/>
          <w:szCs w:val="20"/>
        </w:rPr>
        <w:t>identify and train partners</w:t>
      </w:r>
      <w:r>
        <w:rPr>
          <w:rFonts w:eastAsia="SimSun" w:cs="Calibri" w:cstheme="minorHAnsi"/>
          <w:color w:val="000000" w:themeColor="text1"/>
          <w:sz w:val="20"/>
          <w:szCs w:val="20"/>
        </w:rPr>
        <w:t xml:space="preserve"> at the national, provincial/district and local levels for:</w:t>
      </w:r>
    </w:p>
    <w:p>
      <w:pPr>
        <w:pStyle w:val="Normal"/>
        <w:numPr>
          <w:ilvl w:val="2"/>
          <w:numId w:val="3"/>
        </w:numPr>
        <w:shd w:val="clear" w:color="auto" w:fill="FFFFFF"/>
        <w:spacing w:lineRule="atLeast" w:line="225" w:before="0" w:after="150"/>
        <w:contextualSpacing/>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nCoV surveillance (including community-based surveillance where appropriate, and </w:t>
      </w:r>
      <w:r>
        <w:rPr>
          <w:rFonts w:eastAsia="SimSun" w:cs="Calibri" w:cstheme="minorHAnsi"/>
          <w:b/>
          <w:bCs/>
          <w:color w:val="000000" w:themeColor="text1"/>
          <w:sz w:val="20"/>
          <w:szCs w:val="20"/>
        </w:rPr>
        <w:t>specific guidance for detection of nCoV infection among children and pregnant women, as appropriate</w:t>
      </w:r>
      <w:r>
        <w:rPr>
          <w:rFonts w:eastAsia="SimSun" w:cs="Calibri" w:cstheme="minorHAnsi"/>
          <w:color w:val="000000" w:themeColor="text1"/>
          <w:sz w:val="20"/>
          <w:szCs w:val="20"/>
        </w:rPr>
        <w:t>)</w:t>
      </w:r>
    </w:p>
    <w:p>
      <w:pPr>
        <w:pStyle w:val="Normal"/>
        <w:numPr>
          <w:ilvl w:val="2"/>
          <w:numId w:val="3"/>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Case management (including as appropriate, holistic care of children and pregnant women infected)</w:t>
      </w:r>
    </w:p>
    <w:p>
      <w:pPr>
        <w:pStyle w:val="Normal"/>
        <w:numPr>
          <w:ilvl w:val="2"/>
          <w:numId w:val="3"/>
        </w:numPr>
        <w:shd w:val="clear" w:color="auto" w:fill="FFFFFF"/>
        <w:spacing w:lineRule="atLeast" w:line="225" w:before="0" w:after="150"/>
        <w:contextualSpacing/>
        <w:jc w:val="both"/>
        <w:rPr>
          <w:rFonts w:eastAsia="SimSun" w:cs="Calibri" w:cstheme="minorHAnsi"/>
          <w:b/>
          <w:b/>
          <w:color w:val="000000" w:themeColor="text1"/>
          <w:sz w:val="20"/>
          <w:szCs w:val="20"/>
        </w:rPr>
      </w:pPr>
      <w:r>
        <w:rPr>
          <w:rFonts w:eastAsia="SimSun" w:cs="Calibri" w:cstheme="minorHAnsi"/>
          <w:color w:val="000000" w:themeColor="text1"/>
          <w:sz w:val="20"/>
          <w:szCs w:val="20"/>
        </w:rPr>
        <w:t>Laboratory testing and sample transport</w:t>
      </w:r>
    </w:p>
    <w:p>
      <w:pPr>
        <w:pStyle w:val="Normal"/>
        <w:numPr>
          <w:ilvl w:val="2"/>
          <w:numId w:val="3"/>
        </w:numPr>
        <w:shd w:val="clear" w:color="auto" w:fill="FFFFFF"/>
        <w:spacing w:lineRule="atLeast" w:line="225" w:before="0" w:after="150"/>
        <w:contextualSpacing/>
        <w:jc w:val="both"/>
        <w:rPr>
          <w:rFonts w:eastAsia="SimSun" w:cs="Calibri" w:cstheme="minorHAnsi"/>
          <w:b/>
          <w:b/>
          <w:bCs/>
          <w:color w:val="000000" w:themeColor="text1"/>
          <w:sz w:val="20"/>
          <w:szCs w:val="20"/>
        </w:rPr>
      </w:pPr>
      <w:r>
        <w:rPr>
          <w:rFonts w:eastAsia="SimSun" w:cs="Calibri" w:cstheme="minorHAnsi"/>
          <w:b/>
          <w:bCs/>
          <w:color w:val="000000" w:themeColor="text1"/>
          <w:sz w:val="20"/>
          <w:szCs w:val="20"/>
        </w:rPr>
        <w:t>IPC in health services (including public, private, traditional practitioners, pharmacies as appropriate)</w:t>
      </w:r>
    </w:p>
    <w:p>
      <w:pPr>
        <w:pStyle w:val="Normal"/>
        <w:numPr>
          <w:ilvl w:val="2"/>
          <w:numId w:val="3"/>
        </w:numPr>
        <w:shd w:val="clear" w:color="auto" w:fill="FFFFFF"/>
        <w:spacing w:lineRule="atLeast" w:line="225" w:before="0" w:after="150"/>
        <w:contextualSpacing/>
        <w:jc w:val="both"/>
        <w:rPr>
          <w:rFonts w:eastAsia="SimSun" w:cs="Calibri" w:cstheme="minorHAnsi"/>
          <w:b/>
          <w:b/>
          <w:bCs/>
          <w:color w:val="000000" w:themeColor="text1"/>
          <w:sz w:val="20"/>
          <w:szCs w:val="20"/>
        </w:rPr>
      </w:pPr>
      <w:r>
        <w:rPr>
          <w:rFonts w:eastAsia="Corbel" w:cs="Calibri" w:cstheme="minorHAnsi"/>
          <w:b/>
          <w:bCs/>
          <w:color w:val="000000" w:themeColor="text1"/>
          <w:sz w:val="20"/>
          <w:szCs w:val="20"/>
        </w:rPr>
        <w:t>Risk communication and community engagement (RCCE)</w:t>
      </w:r>
    </w:p>
    <w:p>
      <w:pPr>
        <w:pStyle w:val="Normal"/>
        <w:numPr>
          <w:ilvl w:val="2"/>
          <w:numId w:val="3"/>
        </w:numPr>
        <w:shd w:val="clear" w:color="auto" w:fill="FFFFFF"/>
        <w:spacing w:lineRule="atLeast" w:line="225" w:before="0" w:after="150"/>
        <w:contextualSpacing/>
        <w:jc w:val="both"/>
        <w:rPr>
          <w:rFonts w:eastAsia="SimSun" w:cs="Calibri" w:cstheme="minorHAnsi"/>
          <w:b/>
          <w:b/>
          <w:bCs/>
          <w:color w:val="000000" w:themeColor="text1"/>
          <w:sz w:val="20"/>
          <w:szCs w:val="20"/>
        </w:rPr>
      </w:pPr>
      <w:r>
        <w:rPr>
          <w:rFonts w:eastAsia="SimSun" w:cs="Calibri" w:cstheme="minorHAnsi"/>
          <w:b/>
          <w:bCs/>
          <w:color w:val="000000" w:themeColor="text1"/>
          <w:sz w:val="20"/>
          <w:szCs w:val="20"/>
        </w:rPr>
        <w:t>nCoV education, prevention and control in schools (safe school operations during nCoV outbreak)</w:t>
      </w:r>
    </w:p>
    <w:p>
      <w:pPr>
        <w:pStyle w:val="Normal"/>
        <w:numPr>
          <w:ilvl w:val="2"/>
          <w:numId w:val="3"/>
        </w:numPr>
        <w:shd w:val="clear" w:color="auto" w:fill="FFFFFF"/>
        <w:spacing w:lineRule="atLeast" w:line="225" w:before="0" w:after="150"/>
        <w:contextualSpacing/>
        <w:jc w:val="both"/>
        <w:rPr>
          <w:rFonts w:eastAsia="SimSun" w:cs="Calibri" w:cstheme="minorHAnsi"/>
          <w:b/>
          <w:b/>
          <w:color w:val="000000" w:themeColor="text1"/>
          <w:sz w:val="20"/>
          <w:szCs w:val="20"/>
        </w:rPr>
      </w:pPr>
      <w:r>
        <w:rPr>
          <w:rFonts w:eastAsia="Corbel" w:cs="Calibri" w:cstheme="minorHAnsi"/>
          <w:color w:val="000000" w:themeColor="text1"/>
          <w:sz w:val="20"/>
          <w:szCs w:val="20"/>
        </w:rPr>
        <w:t>Contact tracing (if indicated)</w:t>
      </w:r>
    </w:p>
    <w:p>
      <w:pPr>
        <w:pStyle w:val="Normal"/>
        <w:numPr>
          <w:ilvl w:val="2"/>
          <w:numId w:val="3"/>
        </w:numPr>
        <w:shd w:val="clear" w:color="auto" w:fill="FFFFFF"/>
        <w:spacing w:lineRule="atLeast" w:line="225" w:before="0" w:after="150"/>
        <w:contextualSpacing/>
        <w:jc w:val="both"/>
        <w:rPr>
          <w:rFonts w:eastAsia="SimSun" w:cs="Calibri" w:cstheme="minorHAnsi"/>
          <w:b/>
          <w:b/>
          <w:color w:val="000000" w:themeColor="text1"/>
          <w:sz w:val="20"/>
          <w:szCs w:val="20"/>
        </w:rPr>
      </w:pPr>
      <w:r>
        <w:rPr>
          <w:rFonts w:eastAsia="SimSun" w:cs="Calibri" w:cstheme="minorHAnsi"/>
          <w:b/>
          <w:color w:val="000000" w:themeColor="text1"/>
          <w:sz w:val="20"/>
          <w:szCs w:val="20"/>
        </w:rPr>
        <w:t>Psychosocial support (PSS)</w:t>
      </w:r>
    </w:p>
    <w:p>
      <w:pPr>
        <w:pStyle w:val="Normal"/>
        <w:numPr>
          <w:ilvl w:val="2"/>
          <w:numId w:val="3"/>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Breastfeeding recommendations</w:t>
      </w:r>
    </w:p>
    <w:p>
      <w:pPr>
        <w:pStyle w:val="Normal"/>
        <w:numPr>
          <w:ilvl w:val="2"/>
          <w:numId w:val="3"/>
        </w:numPr>
        <w:shd w:val="clear" w:color="auto" w:fill="FFFFFF"/>
        <w:spacing w:lineRule="atLeast" w:line="225" w:before="0" w:after="150"/>
        <w:contextualSpacing/>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Information management </w:t>
      </w:r>
    </w:p>
    <w:p>
      <w:pPr>
        <w:pStyle w:val="ListParagraph"/>
        <w:ind w:left="360" w:hanging="0"/>
        <w:jc w:val="both"/>
        <w:rPr>
          <w:rFonts w:cs="Calibri" w:cstheme="minorHAnsi"/>
          <w:b/>
          <w:b/>
          <w:color w:val="000000" w:themeColor="text1"/>
        </w:rPr>
      </w:pPr>
      <w:r>
        <w:rPr>
          <w:rFonts w:cs="Calibri" w:cstheme="minorHAnsi"/>
          <w:b/>
          <w:color w:val="000000" w:themeColor="text1"/>
        </w:rPr>
      </w:r>
    </w:p>
    <w:p>
      <w:pPr>
        <w:pStyle w:val="Normal"/>
        <w:numPr>
          <w:ilvl w:val="1"/>
          <w:numId w:val="3"/>
        </w:numPr>
        <w:shd w:val="clear" w:color="auto" w:fill="FFFFFF"/>
        <w:spacing w:lineRule="atLeast" w:line="225" w:before="0" w:after="150"/>
        <w:jc w:val="both"/>
        <w:rPr>
          <w:rFonts w:eastAsia="SimSun" w:cs="Calibri" w:cstheme="minorHAnsi"/>
          <w:b/>
          <w:b/>
          <w:color w:val="000000" w:themeColor="text1"/>
          <w:sz w:val="20"/>
          <w:szCs w:val="20"/>
        </w:rPr>
      </w:pPr>
      <w:r>
        <w:rPr>
          <w:rFonts w:eastAsia="SimSun" w:cs="Calibri" w:cstheme="minorHAnsi"/>
          <w:color w:val="000000" w:themeColor="text1"/>
          <w:sz w:val="20"/>
          <w:szCs w:val="20"/>
        </w:rPr>
        <w:t>In countries where UNICEF has Integrated Management of Childhood Illness (IMCI) and Integrated Community Case Management (iCCM) programs, train health care providers for nCoV detection (know case definitions), reporting, case management and referral, as appropriate.</w:t>
      </w:r>
    </w:p>
    <w:p>
      <w:pPr>
        <w:pStyle w:val="ListParagraph"/>
        <w:rPr>
          <w:rFonts w:eastAsia="SimSun" w:cs="Calibri" w:cstheme="minorHAnsi"/>
          <w:b/>
          <w:b/>
          <w:color w:val="000000" w:themeColor="text1"/>
          <w:sz w:val="20"/>
          <w:szCs w:val="20"/>
        </w:rPr>
      </w:pPr>
      <w:r>
        <w:rPr>
          <w:rFonts w:eastAsia="SimSun" w:cs="Calibri" w:cstheme="minorHAnsi"/>
          <w:b/>
          <w:color w:val="000000" w:themeColor="text1"/>
          <w:sz w:val="20"/>
          <w:szCs w:val="20"/>
        </w:rPr>
      </w:r>
    </w:p>
    <w:p>
      <w:pPr>
        <w:pStyle w:val="ListParagraph"/>
        <w:numPr>
          <w:ilvl w:val="0"/>
          <w:numId w:val="3"/>
        </w:numPr>
        <w:shd w:val="clear" w:color="auto" w:fill="FFFFFF"/>
        <w:spacing w:lineRule="atLeast" w:line="225" w:before="0" w:after="150"/>
        <w:contextualSpacing/>
        <w:jc w:val="both"/>
        <w:rPr>
          <w:rFonts w:eastAsia="SimSun" w:cs="Calibri" w:cstheme="minorHAnsi"/>
          <w:b/>
          <w:b/>
          <w:color w:val="000000" w:themeColor="text1"/>
          <w:sz w:val="20"/>
          <w:szCs w:val="20"/>
        </w:rPr>
      </w:pPr>
      <w:r>
        <w:rPr>
          <w:rFonts w:eastAsia="SimSun" w:cs="Calibri" w:cstheme="minorHAnsi"/>
          <w:b/>
          <w:color w:val="000000" w:themeColor="text1"/>
          <w:sz w:val="20"/>
          <w:szCs w:val="20"/>
        </w:rPr>
        <w:t>Monitoring and evaluation</w:t>
      </w:r>
    </w:p>
    <w:p>
      <w:pPr>
        <w:pStyle w:val="ListParagraph"/>
        <w:shd w:val="clear" w:color="auto" w:fill="FFFFFF"/>
        <w:spacing w:lineRule="atLeast" w:line="225" w:before="0" w:after="150"/>
        <w:ind w:left="360" w:hanging="0"/>
        <w:contextualSpacing/>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r>
    </w:p>
    <w:p>
      <w:pPr>
        <w:pStyle w:val="ListParagraph"/>
        <w:numPr>
          <w:ilvl w:val="1"/>
          <w:numId w:val="18"/>
        </w:numPr>
        <w:shd w:val="clear" w:color="auto" w:fill="FFFFFF"/>
        <w:spacing w:lineRule="atLeast" w:line="225" w:before="0" w:after="150"/>
        <w:contextualSpacing/>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rPr>
        <w:t xml:space="preserve">Develop an integrated monitoring and evaluation plan </w:t>
      </w:r>
      <w:r>
        <w:rPr>
          <w:rFonts w:eastAsia="SimSun" w:cs="Calibri" w:cstheme="minorHAnsi"/>
          <w:color w:val="000000" w:themeColor="text1"/>
          <w:sz w:val="20"/>
          <w:szCs w:val="20"/>
        </w:rPr>
        <w:t xml:space="preserve">in coordination with partners, including data collection and analysis to inform program decision-making. </w:t>
      </w:r>
    </w:p>
    <w:p>
      <w:pPr>
        <w:pStyle w:val="ListParagraph"/>
        <w:numPr>
          <w:ilvl w:val="1"/>
          <w:numId w:val="18"/>
        </w:numPr>
        <w:shd w:val="clear" w:color="auto" w:fill="FFFFFF"/>
        <w:spacing w:lineRule="atLeast" w:line="225" w:before="0" w:after="150"/>
        <w:contextualSpacing/>
        <w:jc w:val="both"/>
        <w:rPr>
          <w:rFonts w:eastAsia="SimSun" w:cs="Calibri" w:cstheme="minorHAnsi"/>
          <w:b/>
          <w:b/>
          <w:color w:val="000000" w:themeColor="text1"/>
          <w:sz w:val="20"/>
          <w:szCs w:val="20"/>
          <w:u w:val="single"/>
        </w:rPr>
      </w:pPr>
      <w:r>
        <w:rPr>
          <w:rFonts w:eastAsia="SimSun" w:cs="Calibri" w:cstheme="minorHAnsi"/>
          <w:color w:val="000000" w:themeColor="text1"/>
          <w:sz w:val="20"/>
          <w:szCs w:val="20"/>
        </w:rPr>
        <w:t>Strengthen UNICEF and partners capacity to monitor a response.</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2. Support partner coordination at the country level</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numPr>
          <w:ilvl w:val="0"/>
          <w:numId w:val="27"/>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b/>
          <w:color w:val="000000" w:themeColor="text1"/>
          <w:sz w:val="20"/>
          <w:szCs w:val="20"/>
        </w:rPr>
        <w:t>Co-lead the Risk Communication and Community Engagement</w:t>
      </w:r>
      <w:r>
        <w:rPr>
          <w:rFonts w:eastAsia="SimSun" w:cs="Calibri" w:cstheme="minorHAnsi"/>
          <w:color w:val="000000" w:themeColor="text1"/>
          <w:sz w:val="20"/>
          <w:szCs w:val="20"/>
        </w:rPr>
        <w:t xml:space="preserve"> pillar of the response in coordination with IFRC and WHO.</w:t>
      </w:r>
    </w:p>
    <w:p>
      <w:pPr>
        <w:pStyle w:val="Normal"/>
        <w:numPr>
          <w:ilvl w:val="0"/>
          <w:numId w:val="27"/>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Participate in </w:t>
      </w:r>
      <w:r>
        <w:rPr>
          <w:rFonts w:eastAsia="SimSun" w:cs="Calibri" w:cstheme="minorHAnsi"/>
          <w:b/>
          <w:color w:val="000000" w:themeColor="text1"/>
          <w:sz w:val="20"/>
          <w:szCs w:val="20"/>
        </w:rPr>
        <w:t>national, sub-national, and inter-agency nCoV coordination mechanisms</w:t>
      </w:r>
      <w:r>
        <w:rPr>
          <w:rFonts w:eastAsia="SimSun" w:cs="Calibri" w:cstheme="minorHAnsi"/>
          <w:color w:val="000000" w:themeColor="text1"/>
          <w:sz w:val="20"/>
          <w:szCs w:val="20"/>
        </w:rPr>
        <w:t xml:space="preserve"> and </w:t>
      </w:r>
      <w:r>
        <w:rPr>
          <w:rFonts w:eastAsia="SimSun" w:cs="Calibri" w:cstheme="minorHAnsi"/>
          <w:b/>
          <w:color w:val="000000" w:themeColor="text1"/>
          <w:sz w:val="20"/>
          <w:szCs w:val="20"/>
        </w:rPr>
        <w:t xml:space="preserve">enhance links among all relevant sectors </w:t>
      </w:r>
      <w:r>
        <w:rPr>
          <w:rFonts w:eastAsia="SimSun" w:cs="Calibri" w:cstheme="minorHAnsi"/>
          <w:color w:val="000000" w:themeColor="text1"/>
          <w:sz w:val="20"/>
          <w:szCs w:val="20"/>
        </w:rPr>
        <w:t>(Health, WASH, RCCE/C4D, education, nutrition, child protection, social protection).</w:t>
      </w:r>
    </w:p>
    <w:p>
      <w:pPr>
        <w:pStyle w:val="Normal"/>
        <w:numPr>
          <w:ilvl w:val="0"/>
          <w:numId w:val="27"/>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b/>
          <w:color w:val="000000" w:themeColor="text1"/>
          <w:sz w:val="20"/>
          <w:szCs w:val="20"/>
        </w:rPr>
        <w:t>Activate UNICEF cross-sectoral coordination mechanisms</w:t>
      </w:r>
      <w:r>
        <w:rPr>
          <w:rFonts w:eastAsia="SimSun" w:cs="Calibri" w:cstheme="minorHAnsi"/>
          <w:color w:val="000000" w:themeColor="text1"/>
          <w:sz w:val="20"/>
          <w:szCs w:val="20"/>
        </w:rPr>
        <w:t xml:space="preserve"> as appropriate (i.e. CO, RO, HQ, cross-border) including internal communication and standard operation procedures (SOP) as indicated.</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3. Limit human-to-human transmission and protect individuals from exposure to nCoV</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ListParagraph"/>
        <w:numPr>
          <w:ilvl w:val="0"/>
          <w:numId w:val="13"/>
        </w:numPr>
        <w:shd w:val="clear" w:color="auto" w:fill="FFFFFF"/>
        <w:spacing w:lineRule="atLeast" w:line="225" w:before="0" w:after="150"/>
        <w:ind w:left="360" w:hanging="360"/>
        <w:contextualSpacing/>
        <w:jc w:val="both"/>
        <w:rPr/>
      </w:pPr>
      <w:r>
        <w:rPr>
          <w:rFonts w:eastAsia="SimSun" w:cs="Calibri" w:cstheme="minorHAnsi"/>
          <w:b/>
          <w:color w:val="000000" w:themeColor="text1"/>
          <w:sz w:val="20"/>
          <w:szCs w:val="20"/>
        </w:rPr>
        <w:t>RCCE (Risk Communication and Community Engagement):</w:t>
      </w:r>
      <w:r>
        <w:rPr>
          <w:rFonts w:eastAsia="SimSun" w:cs="Calibri" w:cstheme="minorHAnsi"/>
          <w:color w:val="000000" w:themeColor="text1"/>
          <w:sz w:val="20"/>
          <w:szCs w:val="20"/>
        </w:rPr>
        <w:t xml:space="preserve"> Overall, the goal of RCCE before the outbreak is to create trust among the stakeholders, and have plans, structures, and partners ready for immediate activation at the community level. (Also refer to </w:t>
      </w:r>
      <w:hyperlink r:id="rId9">
        <w:r>
          <w:rPr>
            <w:rStyle w:val="InternetLink"/>
            <w:rFonts w:eastAsia="SimSun" w:cs="Calibri" w:cstheme="minorHAnsi"/>
            <w:sz w:val="20"/>
            <w:szCs w:val="20"/>
          </w:rPr>
          <w:t>WHO nCoV technical guidance on Risk Communication and Community Engagement</w:t>
        </w:r>
      </w:hyperlink>
      <w:r>
        <w:rPr>
          <w:rFonts w:eastAsia="SimSun" w:cs="Calibri" w:cstheme="minorHAnsi"/>
          <w:color w:val="000000" w:themeColor="text1"/>
          <w:sz w:val="20"/>
          <w:szCs w:val="20"/>
        </w:rPr>
        <w:t xml:space="preserve">) </w:t>
      </w:r>
    </w:p>
    <w:p>
      <w:pPr>
        <w:pStyle w:val="Normal"/>
        <w:numPr>
          <w:ilvl w:val="0"/>
          <w:numId w:val="16"/>
        </w:numPr>
        <w:shd w:val="clear" w:color="auto" w:fill="FFFFFF"/>
        <w:spacing w:lineRule="atLeast" w:line="225" w:before="0" w:after="150"/>
        <w:ind w:left="72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Map key stakeholders</w:t>
      </w:r>
      <w:r>
        <w:rPr>
          <w:rFonts w:eastAsia="SimSun" w:cs="Calibri" w:cstheme="minorHAnsi"/>
          <w:color w:val="000000" w:themeColor="text1"/>
          <w:sz w:val="20"/>
          <w:szCs w:val="20"/>
        </w:rPr>
        <w:t xml:space="preserve"> (relevant national authorities – including Ministries of Health, Agriculture, Travel and Tourism, UN agencies, NGOs, local partners)</w:t>
      </w:r>
      <w:r>
        <w:rPr>
          <w:rFonts w:eastAsia="SimSun" w:cs="Calibri" w:cstheme="minorHAnsi"/>
          <w:b/>
          <w:color w:val="000000" w:themeColor="text1"/>
          <w:sz w:val="20"/>
          <w:szCs w:val="20"/>
        </w:rPr>
        <w:t xml:space="preserve"> to be included in the response pillar for risk communication and community engagement (RCCE pillar)</w:t>
      </w:r>
      <w:r>
        <w:rPr>
          <w:rFonts w:eastAsia="SimSun" w:cs="Calibri" w:cstheme="minorHAnsi"/>
          <w:color w:val="000000" w:themeColor="text1"/>
          <w:sz w:val="20"/>
          <w:szCs w:val="20"/>
        </w:rPr>
        <w:t xml:space="preserve">, and </w:t>
      </w:r>
      <w:r>
        <w:rPr>
          <w:rFonts w:eastAsia="SimSun" w:cs="Calibri" w:cstheme="minorHAnsi"/>
          <w:b/>
          <w:color w:val="000000" w:themeColor="text1"/>
          <w:sz w:val="20"/>
          <w:szCs w:val="20"/>
        </w:rPr>
        <w:t xml:space="preserve">assess the capacities of all relevant partners. </w:t>
      </w:r>
      <w:r>
        <w:rPr>
          <w:rFonts w:eastAsia="SimSun" w:cs="Calibri" w:cstheme="minorHAnsi"/>
          <w:color w:val="000000" w:themeColor="text1"/>
          <w:sz w:val="20"/>
          <w:szCs w:val="20"/>
        </w:rPr>
        <w:t xml:space="preserve"> </w:t>
      </w:r>
    </w:p>
    <w:p>
      <w:pPr>
        <w:pStyle w:val="Normal"/>
        <w:numPr>
          <w:ilvl w:val="0"/>
          <w:numId w:val="16"/>
        </w:numPr>
        <w:shd w:val="clear" w:color="auto" w:fill="FFFFFF"/>
        <w:spacing w:lineRule="atLeast" w:line="225" w:before="0" w:after="150"/>
        <w:ind w:left="72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 xml:space="preserve">Convene RCCE pillar partners </w:t>
      </w:r>
      <w:r>
        <w:rPr>
          <w:rFonts w:eastAsia="SimSun" w:cs="Calibri" w:cstheme="minorHAnsi"/>
          <w:color w:val="000000" w:themeColor="text1"/>
          <w:sz w:val="20"/>
          <w:szCs w:val="20"/>
        </w:rPr>
        <w:t xml:space="preserve">to </w:t>
      </w:r>
      <w:r>
        <w:rPr>
          <w:rFonts w:eastAsia="SimSun" w:cs="Calibri" w:cstheme="minorHAnsi"/>
          <w:b/>
          <w:color w:val="000000" w:themeColor="text1"/>
          <w:sz w:val="20"/>
          <w:szCs w:val="20"/>
        </w:rPr>
        <w:t>develop a RCCE strategy and action plan for nCoV</w:t>
      </w:r>
      <w:r>
        <w:rPr>
          <w:rFonts w:eastAsia="SimSun" w:cs="Calibri" w:cstheme="minorHAnsi"/>
          <w:color w:val="000000" w:themeColor="text1"/>
          <w:sz w:val="20"/>
          <w:szCs w:val="20"/>
        </w:rPr>
        <w:t xml:space="preserve">, as well as </w:t>
      </w:r>
      <w:r>
        <w:rPr>
          <w:rFonts w:eastAsia="SimSun" w:cs="Calibri" w:cstheme="minorHAnsi"/>
          <w:b/>
          <w:color w:val="000000" w:themeColor="text1"/>
          <w:sz w:val="20"/>
          <w:szCs w:val="20"/>
        </w:rPr>
        <w:t>standard operating procedures</w:t>
      </w:r>
      <w:r>
        <w:rPr>
          <w:rFonts w:eastAsia="SimSun" w:cs="Calibri" w:cstheme="minorHAnsi"/>
          <w:color w:val="000000" w:themeColor="text1"/>
          <w:sz w:val="20"/>
          <w:szCs w:val="20"/>
        </w:rPr>
        <w:t xml:space="preserve">, and </w:t>
      </w:r>
      <w:r>
        <w:rPr>
          <w:rFonts w:eastAsia="SimSun" w:cs="Calibri" w:cstheme="minorHAnsi"/>
          <w:b/>
          <w:color w:val="000000" w:themeColor="text1"/>
          <w:sz w:val="20"/>
          <w:szCs w:val="20"/>
        </w:rPr>
        <w:t>key messages</w:t>
      </w:r>
      <w:r>
        <w:rPr>
          <w:rFonts w:eastAsia="SimSun" w:cs="Calibri" w:cstheme="minorHAnsi"/>
          <w:color w:val="000000" w:themeColor="text1"/>
          <w:sz w:val="20"/>
          <w:szCs w:val="20"/>
        </w:rPr>
        <w:t xml:space="preserve">. </w:t>
      </w:r>
    </w:p>
    <w:p>
      <w:pPr>
        <w:pStyle w:val="ListParagraph"/>
        <w:numPr>
          <w:ilvl w:val="0"/>
          <w:numId w:val="15"/>
        </w:numPr>
        <w:ind w:left="720" w:hanging="360"/>
        <w:jc w:val="both"/>
        <w:rPr>
          <w:rFonts w:eastAsia="SimSun" w:cs="Calibri" w:cstheme="minorHAnsi"/>
          <w:color w:val="000000" w:themeColor="text1"/>
          <w:sz w:val="20"/>
          <w:szCs w:val="20"/>
        </w:rPr>
      </w:pPr>
      <w:r>
        <w:rPr>
          <w:rFonts w:eastAsia="SimSun" w:cs="Calibri" w:cstheme="minorHAnsi"/>
          <w:b/>
          <w:bCs/>
          <w:color w:val="000000" w:themeColor="text1"/>
          <w:sz w:val="20"/>
          <w:szCs w:val="20"/>
        </w:rPr>
        <w:t>Key messages</w:t>
      </w:r>
      <w:r>
        <w:rPr>
          <w:rFonts w:eastAsia="SimSun" w:cs="Calibri" w:cstheme="minorHAnsi"/>
          <w:color w:val="000000" w:themeColor="text1"/>
          <w:sz w:val="20"/>
          <w:szCs w:val="20"/>
        </w:rPr>
        <w:t xml:space="preserve"> should focus on </w:t>
      </w:r>
      <w:r>
        <w:rPr>
          <w:rFonts w:eastAsia="SimSun" w:cs="Calibri" w:cstheme="minorHAnsi"/>
          <w:b/>
          <w:bCs/>
          <w:color w:val="000000" w:themeColor="text1"/>
          <w:sz w:val="20"/>
          <w:szCs w:val="20"/>
        </w:rPr>
        <w:t>actions to protect individuals from exposure to nCoV and minimize morbidity and mortality due to nCoV</w:t>
      </w:r>
      <w:r>
        <w:rPr>
          <w:rFonts w:eastAsia="SimSun" w:cs="Calibri" w:cstheme="minorHAnsi"/>
          <w:color w:val="000000" w:themeColor="text1"/>
          <w:sz w:val="20"/>
          <w:szCs w:val="20"/>
        </w:rPr>
        <w:t xml:space="preserve">, including </w:t>
      </w:r>
    </w:p>
    <w:p>
      <w:pPr>
        <w:pStyle w:val="ListParagraph"/>
        <w:numPr>
          <w:ilvl w:val="1"/>
          <w:numId w:val="15"/>
        </w:numPr>
        <w:shd w:val="clear" w:color="auto" w:fill="FFFFFF" w:themeFill="background1"/>
        <w:spacing w:lineRule="atLeast" w:line="225"/>
        <w:ind w:left="1440" w:right="300" w:hanging="360"/>
        <w:jc w:val="both"/>
        <w:textAlignment w:val="baseline"/>
        <w:rPr/>
      </w:pPr>
      <w:r>
        <w:rPr>
          <w:rFonts w:cs="Calibri" w:cstheme="minorHAnsi"/>
          <w:sz w:val="20"/>
          <w:szCs w:val="20"/>
        </w:rPr>
        <w:t xml:space="preserve">staying aware of the latest information on the outbreak (communication from local/national authorities, </w:t>
      </w:r>
      <w:hyperlink r:id="rId10">
        <w:r>
          <w:rPr>
            <w:rStyle w:val="InternetLink"/>
            <w:rFonts w:cs="Calibri" w:cstheme="minorHAnsi"/>
            <w:sz w:val="20"/>
            <w:szCs w:val="20"/>
          </w:rPr>
          <w:t>WHO nCoV daily sitreps</w:t>
        </w:r>
      </w:hyperlink>
      <w:r>
        <w:rPr>
          <w:rFonts w:cs="Calibri" w:cstheme="minorHAnsi"/>
          <w:sz w:val="20"/>
          <w:szCs w:val="20"/>
        </w:rPr>
        <w:t>);</w:t>
      </w:r>
    </w:p>
    <w:p>
      <w:pPr>
        <w:pStyle w:val="ListParagraph"/>
        <w:numPr>
          <w:ilvl w:val="1"/>
          <w:numId w:val="15"/>
        </w:numPr>
        <w:shd w:val="clear" w:color="auto" w:fill="FFFFFF" w:themeFill="background1"/>
        <w:spacing w:lineRule="atLeast" w:line="225"/>
        <w:ind w:left="1440" w:right="300" w:hanging="360"/>
        <w:jc w:val="both"/>
        <w:textAlignment w:val="baseline"/>
        <w:rPr>
          <w:rFonts w:cs="Calibri" w:cstheme="minorHAnsi"/>
          <w:sz w:val="20"/>
          <w:szCs w:val="20"/>
        </w:rPr>
      </w:pPr>
      <w:r>
        <w:rPr>
          <w:rFonts w:cs="Calibri" w:cstheme="minorHAnsi"/>
          <w:sz w:val="20"/>
          <w:szCs w:val="20"/>
        </w:rPr>
        <w:t xml:space="preserve">washing hands frequently with an alcohol-based hand rub or soap and water; </w:t>
      </w:r>
    </w:p>
    <w:p>
      <w:pPr>
        <w:pStyle w:val="ListParagraph"/>
        <w:numPr>
          <w:ilvl w:val="1"/>
          <w:numId w:val="15"/>
        </w:numPr>
        <w:shd w:val="clear" w:color="auto" w:fill="FFFFFF" w:themeFill="background1"/>
        <w:spacing w:lineRule="atLeast" w:line="225"/>
        <w:ind w:left="1440" w:right="300" w:hanging="360"/>
        <w:jc w:val="both"/>
        <w:textAlignment w:val="baseline"/>
        <w:rPr>
          <w:rFonts w:cs="Calibri" w:cstheme="minorHAnsi"/>
          <w:sz w:val="20"/>
          <w:szCs w:val="20"/>
        </w:rPr>
      </w:pPr>
      <w:r>
        <w:rPr>
          <w:rFonts w:cs="Calibri" w:cstheme="minorHAnsi"/>
          <w:sz w:val="20"/>
          <w:szCs w:val="20"/>
        </w:rPr>
        <w:t>covering mouth and nose with fixed elbow or tissue when coughing and sneezing, and throw tissue into closed bin immediately after use;</w:t>
      </w:r>
    </w:p>
    <w:p>
      <w:pPr>
        <w:pStyle w:val="ListParagraph"/>
        <w:numPr>
          <w:ilvl w:val="1"/>
          <w:numId w:val="15"/>
        </w:numPr>
        <w:shd w:val="clear" w:color="auto" w:fill="FFFFFF" w:themeFill="background1"/>
        <w:spacing w:lineRule="atLeast" w:line="225"/>
        <w:ind w:left="1440" w:right="300" w:hanging="360"/>
        <w:jc w:val="both"/>
        <w:textAlignment w:val="baseline"/>
        <w:rPr>
          <w:rFonts w:cs="Calibri" w:cstheme="minorHAnsi"/>
          <w:sz w:val="20"/>
          <w:szCs w:val="20"/>
        </w:rPr>
      </w:pPr>
      <w:r>
        <w:rPr>
          <w:rFonts w:cs="Calibri" w:cstheme="minorHAnsi"/>
          <w:sz w:val="20"/>
          <w:szCs w:val="20"/>
        </w:rPr>
        <w:t>avoiding close contact when experiencing cough and fever;</w:t>
      </w:r>
    </w:p>
    <w:p>
      <w:pPr>
        <w:pStyle w:val="ListParagraph"/>
        <w:numPr>
          <w:ilvl w:val="1"/>
          <w:numId w:val="15"/>
        </w:numPr>
        <w:shd w:val="clear" w:color="auto" w:fill="FFFFFF" w:themeFill="background1"/>
        <w:spacing w:lineRule="atLeast" w:line="225"/>
        <w:ind w:left="1440" w:right="300" w:hanging="360"/>
        <w:jc w:val="both"/>
        <w:textAlignment w:val="baseline"/>
        <w:rPr>
          <w:rFonts w:cs="Calibri" w:cstheme="minorHAnsi"/>
          <w:sz w:val="20"/>
          <w:szCs w:val="20"/>
        </w:rPr>
      </w:pPr>
      <w:r>
        <w:rPr>
          <w:rFonts w:cs="Calibri" w:cstheme="minorHAnsi"/>
          <w:sz w:val="20"/>
          <w:szCs w:val="20"/>
        </w:rPr>
        <w:t>avoiding contact with sick animals, spoiled meat, waste and fluids in wet markets;</w:t>
      </w:r>
    </w:p>
    <w:p>
      <w:pPr>
        <w:pStyle w:val="ListParagraph"/>
        <w:numPr>
          <w:ilvl w:val="1"/>
          <w:numId w:val="15"/>
        </w:numPr>
        <w:shd w:val="clear" w:color="auto" w:fill="FFFFFF" w:themeFill="background1"/>
        <w:spacing w:lineRule="atLeast" w:line="225"/>
        <w:ind w:left="1440" w:right="300" w:hanging="360"/>
        <w:jc w:val="both"/>
        <w:textAlignment w:val="baseline"/>
        <w:rPr>
          <w:rFonts w:cs="Calibri" w:cstheme="minorHAnsi"/>
          <w:sz w:val="20"/>
          <w:szCs w:val="20"/>
        </w:rPr>
      </w:pPr>
      <w:r>
        <w:rPr>
          <w:rFonts w:cs="Calibri" w:cstheme="minorHAnsi"/>
          <w:sz w:val="20"/>
          <w:szCs w:val="20"/>
        </w:rPr>
        <w:t>practicing food safety;</w:t>
      </w:r>
    </w:p>
    <w:p>
      <w:pPr>
        <w:pStyle w:val="ListParagraph"/>
        <w:numPr>
          <w:ilvl w:val="1"/>
          <w:numId w:val="15"/>
        </w:numPr>
        <w:shd w:val="clear" w:color="auto" w:fill="FFFFFF" w:themeFill="background1"/>
        <w:spacing w:lineRule="atLeast" w:line="225" w:before="120" w:after="0"/>
        <w:ind w:left="1440" w:right="300" w:hanging="360"/>
        <w:contextualSpacing/>
        <w:jc w:val="both"/>
        <w:textAlignment w:val="baseline"/>
        <w:rPr>
          <w:rFonts w:cs="Calibri" w:cstheme="minorHAnsi"/>
          <w:sz w:val="20"/>
          <w:szCs w:val="20"/>
        </w:rPr>
      </w:pPr>
      <w:r>
        <w:rPr>
          <w:rFonts w:cs="Calibri" w:cstheme="minorHAnsi"/>
          <w:sz w:val="20"/>
          <w:szCs w:val="20"/>
        </w:rPr>
        <w:t>seeking medical care early if experiencing fever, cough, difficulty breathing, and share previous travel history with the health care provider, or history of close contact with someone who has traveled to an area where 2019-nCoV been reported;</w:t>
      </w:r>
    </w:p>
    <w:p>
      <w:pPr>
        <w:pStyle w:val="ListParagraph"/>
        <w:numPr>
          <w:ilvl w:val="1"/>
          <w:numId w:val="15"/>
        </w:numPr>
        <w:shd w:val="clear" w:color="auto" w:fill="FFFFFF" w:themeFill="background1"/>
        <w:spacing w:lineRule="atLeast" w:line="225" w:before="120" w:after="0"/>
        <w:ind w:left="1440" w:right="300" w:hanging="360"/>
        <w:contextualSpacing/>
        <w:jc w:val="both"/>
        <w:textAlignment w:val="baseline"/>
        <w:rPr/>
      </w:pPr>
      <w:r>
        <w:rPr>
          <w:rFonts w:cs="Calibri" w:cstheme="minorHAnsi"/>
          <w:sz w:val="20"/>
          <w:szCs w:val="20"/>
        </w:rPr>
        <w:t xml:space="preserve">appropriate use of masks: </w:t>
      </w:r>
      <w:r>
        <w:rPr>
          <w:rFonts w:cs="Calibri" w:cstheme="minorHAnsi"/>
          <w:b/>
          <w:bCs/>
          <w:sz w:val="20"/>
          <w:szCs w:val="20"/>
        </w:rPr>
        <w:t>a medical mask is not required for individuals without respiratory symptoms</w:t>
      </w:r>
      <w:r>
        <w:rPr>
          <w:rFonts w:cs="Calibri" w:cstheme="minorHAnsi"/>
          <w:bCs/>
          <w:sz w:val="20"/>
          <w:szCs w:val="20"/>
        </w:rPr>
        <w:t xml:space="preserve">; individuals with respiratory symptoms should wear a medical mask and seek care if experiencing fever, cough, difficulty breathing – for details, refer to </w:t>
      </w:r>
      <w:hyperlink r:id="rId11">
        <w:r>
          <w:rPr>
            <w:rStyle w:val="InternetLink"/>
            <w:rFonts w:cs="Calibri" w:cstheme="minorHAnsi"/>
            <w:bCs/>
            <w:sz w:val="20"/>
            <w:szCs w:val="20"/>
          </w:rPr>
          <w:t>WHO nCoV Advice on the use of masks in the community, during home care and in health care settings in the context of the novel coronavirus (2019-nCoV) outbreak</w:t>
        </w:r>
      </w:hyperlink>
      <w:r>
        <w:rPr>
          <w:rFonts w:cs="Calibri" w:cstheme="minorHAnsi"/>
          <w:bCs/>
          <w:sz w:val="20"/>
          <w:szCs w:val="20"/>
        </w:rPr>
        <w:t>.</w:t>
      </w:r>
    </w:p>
    <w:p>
      <w:pPr>
        <w:pStyle w:val="ListParagraph"/>
        <w:ind w:left="0" w:hanging="0"/>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numPr>
          <w:ilvl w:val="0"/>
          <w:numId w:val="15"/>
        </w:numPr>
        <w:shd w:val="clear" w:color="auto" w:fill="FFFFFF"/>
        <w:spacing w:lineRule="atLeast" w:line="225" w:before="0" w:after="150"/>
        <w:ind w:left="720" w:hanging="360"/>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As appropriate, </w:t>
      </w:r>
      <w:r>
        <w:rPr>
          <w:rFonts w:eastAsia="SimSun" w:cs="Calibri" w:cstheme="minorHAnsi"/>
          <w:b/>
          <w:bCs/>
          <w:color w:val="000000" w:themeColor="text1"/>
          <w:sz w:val="20"/>
          <w:szCs w:val="20"/>
        </w:rPr>
        <w:t>prepare targeted messaging for key stakeholders and at-risk groups</w:t>
      </w:r>
      <w:r>
        <w:rPr>
          <w:rFonts w:eastAsia="SimSun" w:cs="Calibri" w:cstheme="minorHAnsi"/>
          <w:color w:val="000000" w:themeColor="text1"/>
          <w:sz w:val="20"/>
          <w:szCs w:val="20"/>
        </w:rPr>
        <w:t xml:space="preserve">, such as health care providers (e.g. public, private, traditional practices, community health workers – for case detection, management, referral, and infection prevention and control), market workers, slaughterhouse workers, those handling live animals/animal products, veterinarians, etc. Depending on how nCoV impacts children and pregnant women, this may also include specific messaging targeting children, parents/care givers, pregnant women and their families.      </w:t>
      </w:r>
    </w:p>
    <w:p>
      <w:pPr>
        <w:pStyle w:val="Normal"/>
        <w:numPr>
          <w:ilvl w:val="0"/>
          <w:numId w:val="15"/>
        </w:numPr>
        <w:shd w:val="clear" w:color="auto" w:fill="FFFFFF"/>
        <w:spacing w:lineRule="atLeast" w:line="225" w:before="0" w:after="150"/>
        <w:ind w:left="72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Identify key influencers</w:t>
      </w:r>
      <w:r>
        <w:rPr>
          <w:rFonts w:eastAsia="SimSun" w:cs="Calibri" w:cstheme="minorHAnsi"/>
          <w:color w:val="000000" w:themeColor="text1"/>
          <w:sz w:val="20"/>
          <w:szCs w:val="20"/>
        </w:rPr>
        <w:t xml:space="preserve"> (e..g community leaders, religious leaders, health workers, survivors), </w:t>
      </w:r>
      <w:r>
        <w:rPr>
          <w:rFonts w:eastAsia="SimSun" w:cs="Calibri" w:cstheme="minorHAnsi"/>
          <w:b/>
          <w:color w:val="000000" w:themeColor="text1"/>
          <w:sz w:val="20"/>
          <w:szCs w:val="20"/>
        </w:rPr>
        <w:t>networks</w:t>
      </w:r>
      <w:r>
        <w:rPr>
          <w:rFonts w:eastAsia="SimSun" w:cs="Calibri" w:cstheme="minorHAnsi"/>
          <w:color w:val="000000" w:themeColor="text1"/>
          <w:sz w:val="20"/>
          <w:szCs w:val="20"/>
        </w:rPr>
        <w:t xml:space="preserve"> (women’s groups, youth groups, community health workers, social mobilizers for polio, malaria, HIV, business groups, unions), and </w:t>
      </w:r>
      <w:r>
        <w:rPr>
          <w:rFonts w:eastAsia="SimSun" w:cs="Calibri" w:cstheme="minorHAnsi"/>
          <w:b/>
          <w:color w:val="000000" w:themeColor="text1"/>
          <w:sz w:val="20"/>
          <w:szCs w:val="20"/>
        </w:rPr>
        <w:t>trusted channels of communication</w:t>
      </w:r>
      <w:r>
        <w:rPr>
          <w:rFonts w:eastAsia="SimSun" w:cs="Calibri" w:cstheme="minorHAnsi"/>
          <w:color w:val="000000" w:themeColor="text1"/>
          <w:sz w:val="20"/>
          <w:szCs w:val="20"/>
        </w:rPr>
        <w:t xml:space="preserve"> (local media, radio, social media, hotlines) to strengthen or establish a </w:t>
      </w:r>
      <w:r>
        <w:rPr>
          <w:rFonts w:eastAsia="SimSun" w:cs="Calibri" w:cstheme="minorHAnsi"/>
          <w:b/>
          <w:color w:val="000000" w:themeColor="text1"/>
          <w:sz w:val="20"/>
          <w:szCs w:val="20"/>
        </w:rPr>
        <w:t xml:space="preserve">system for community engagement </w:t>
      </w:r>
      <w:r>
        <w:rPr>
          <w:rFonts w:eastAsia="SimSun" w:cs="Calibri" w:cstheme="minorHAnsi"/>
          <w:color w:val="000000" w:themeColor="text1"/>
          <w:sz w:val="20"/>
          <w:szCs w:val="20"/>
        </w:rPr>
        <w:t xml:space="preserve">at national, sub-national/provincial levels. </w:t>
      </w:r>
    </w:p>
    <w:p>
      <w:pPr>
        <w:pStyle w:val="Normal"/>
        <w:numPr>
          <w:ilvl w:val="0"/>
          <w:numId w:val="15"/>
        </w:numPr>
        <w:spacing w:lineRule="auto" w:line="276"/>
        <w:ind w:left="72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Strengthen community-based mechanisms</w:t>
      </w:r>
      <w:r>
        <w:rPr>
          <w:rFonts w:eastAsia="SimSun" w:cs="Calibri" w:cstheme="minorHAnsi"/>
          <w:color w:val="000000" w:themeColor="text1"/>
          <w:sz w:val="20"/>
          <w:szCs w:val="20"/>
        </w:rPr>
        <w:t xml:space="preserve"> (hotlines, surveys, rumor tracking) to inform the response. Involve traditional media and social media monitoring, local communication systems and networks. Establish feedback mechanisms. </w:t>
      </w:r>
    </w:p>
    <w:p>
      <w:pPr>
        <w:pStyle w:val="Normal"/>
        <w:numPr>
          <w:ilvl w:val="0"/>
          <w:numId w:val="15"/>
        </w:numPr>
        <w:spacing w:lineRule="auto" w:line="276"/>
        <w:ind w:left="72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Pre-test the key messages</w:t>
      </w:r>
      <w:r>
        <w:rPr>
          <w:rFonts w:eastAsia="SimSun" w:cs="Calibri" w:cstheme="minorHAnsi"/>
          <w:color w:val="000000" w:themeColor="text1"/>
          <w:sz w:val="20"/>
          <w:szCs w:val="20"/>
        </w:rPr>
        <w:t xml:space="preserve">, and use existing resources to </w:t>
      </w:r>
      <w:r>
        <w:rPr>
          <w:rFonts w:eastAsia="SimSun" w:cs="Calibri" w:cstheme="minorHAnsi"/>
          <w:b/>
          <w:color w:val="000000" w:themeColor="text1"/>
          <w:sz w:val="20"/>
          <w:szCs w:val="20"/>
        </w:rPr>
        <w:t>develop/adapt communication materials</w:t>
      </w:r>
      <w:r>
        <w:rPr>
          <w:rFonts w:eastAsia="SimSun" w:cs="Calibri" w:cstheme="minorHAnsi"/>
          <w:color w:val="000000" w:themeColor="text1"/>
          <w:sz w:val="20"/>
          <w:szCs w:val="20"/>
        </w:rPr>
        <w:t xml:space="preserve"> (infographics, posters, video clips), including for outreach through mass media, SMS and social media platforms (i.e. U-report).</w:t>
      </w:r>
    </w:p>
    <w:p>
      <w:pPr>
        <w:pStyle w:val="Normal"/>
        <w:numPr>
          <w:ilvl w:val="0"/>
          <w:numId w:val="15"/>
        </w:numPr>
        <w:spacing w:lineRule="auto" w:line="276"/>
        <w:ind w:left="72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Conduct refresher training</w:t>
      </w:r>
      <w:r>
        <w:rPr>
          <w:rFonts w:eastAsia="SimSun" w:cs="Calibri" w:cstheme="minorHAnsi"/>
          <w:color w:val="000000" w:themeColor="text1"/>
          <w:sz w:val="20"/>
          <w:szCs w:val="20"/>
        </w:rPr>
        <w:t xml:space="preserve"> for social mobilizers and health promotion staff.  </w:t>
      </w:r>
    </w:p>
    <w:p>
      <w:pPr>
        <w:pStyle w:val="ListParagraph"/>
        <w:numPr>
          <w:ilvl w:val="0"/>
          <w:numId w:val="15"/>
        </w:numPr>
        <w:shd w:val="clear" w:color="auto" w:fill="FFFFFF"/>
        <w:spacing w:before="0" w:after="150"/>
        <w:ind w:left="720" w:hanging="360"/>
        <w:contextualSpacing/>
        <w:jc w:val="both"/>
        <w:rPr>
          <w:rFonts w:eastAsia="SimSun" w:cs="Calibri" w:cstheme="minorHAnsi"/>
          <w:color w:val="000000" w:themeColor="text1"/>
          <w:sz w:val="20"/>
          <w:szCs w:val="20"/>
        </w:rPr>
      </w:pPr>
      <w:r>
        <w:rPr>
          <w:rFonts w:cs="Calibri" w:cstheme="minorHAnsi"/>
          <w:color w:val="000000" w:themeColor="text1"/>
          <w:sz w:val="20"/>
          <w:szCs w:val="20"/>
        </w:rPr>
        <w:t xml:space="preserve">Determine </w:t>
      </w:r>
      <w:r>
        <w:rPr>
          <w:rFonts w:cs="Calibri" w:cstheme="minorHAnsi"/>
          <w:b/>
          <w:color w:val="000000" w:themeColor="text1"/>
          <w:sz w:val="20"/>
          <w:szCs w:val="20"/>
        </w:rPr>
        <w:t>communication (interpersonal communication and counselling) needs of healthcare workers and volunteers</w:t>
      </w:r>
      <w:r>
        <w:rPr>
          <w:rFonts w:cs="Calibri" w:cstheme="minorHAnsi"/>
          <w:color w:val="000000" w:themeColor="text1"/>
          <w:sz w:val="20"/>
          <w:szCs w:val="20"/>
        </w:rPr>
        <w:t>, and coordinate with partners to develop a rapid orientation and training plan.</w:t>
      </w:r>
    </w:p>
    <w:p>
      <w:pPr>
        <w:pStyle w:val="ListParagraph"/>
        <w:shd w:val="clear" w:color="auto" w:fill="FFFFFF"/>
        <w:spacing w:before="0" w:after="15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ListParagraph"/>
        <w:numPr>
          <w:ilvl w:val="0"/>
          <w:numId w:val="35"/>
        </w:numPr>
        <w:shd w:val="clear" w:color="auto" w:fill="FFFFFF"/>
        <w:spacing w:before="0" w:after="150"/>
        <w:contextualSpacing/>
        <w:jc w:val="both"/>
        <w:rPr>
          <w:rFonts w:eastAsia="SimSun" w:cs="Calibri" w:cstheme="minorHAnsi"/>
          <w:b/>
          <w:b/>
          <w:color w:val="000000" w:themeColor="text1"/>
          <w:sz w:val="20"/>
          <w:szCs w:val="20"/>
        </w:rPr>
      </w:pPr>
      <w:r>
        <w:rPr>
          <w:rFonts w:eastAsia="SimSun" w:cs="Calibri" w:cstheme="minorHAnsi"/>
          <w:b/>
          <w:color w:val="000000" w:themeColor="text1"/>
          <w:sz w:val="20"/>
          <w:szCs w:val="20"/>
        </w:rPr>
        <w:t>Social sciences analysis</w:t>
      </w:r>
    </w:p>
    <w:p>
      <w:pPr>
        <w:pStyle w:val="ListParagraph"/>
        <w:numPr>
          <w:ilvl w:val="0"/>
          <w:numId w:val="41"/>
        </w:numPr>
        <w:shd w:val="clear" w:color="auto" w:fill="FFFFFF"/>
        <w:spacing w:before="0" w:after="150"/>
        <w:ind w:left="720" w:hanging="36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Keep abreast of </w:t>
      </w:r>
      <w:r>
        <w:rPr>
          <w:rFonts w:eastAsia="SimSun" w:cs="Calibri" w:cstheme="minorHAnsi"/>
          <w:b/>
          <w:color w:val="000000" w:themeColor="text1"/>
          <w:sz w:val="20"/>
          <w:szCs w:val="20"/>
        </w:rPr>
        <w:t>existing social sciences data</w:t>
      </w:r>
      <w:r>
        <w:rPr>
          <w:rFonts w:eastAsia="SimSun" w:cs="Calibri" w:cstheme="minorHAnsi"/>
          <w:color w:val="000000" w:themeColor="text1"/>
          <w:sz w:val="20"/>
          <w:szCs w:val="20"/>
        </w:rPr>
        <w:t xml:space="preserve"> (e.g. knowledge, attitudes and practices (KAP) studies, qualitative and mixed methodology studies). This includes </w:t>
      </w:r>
      <w:r>
        <w:rPr>
          <w:rFonts w:eastAsia="SimSun" w:cs="Calibri" w:cstheme="minorHAnsi"/>
          <w:b/>
          <w:bCs/>
          <w:color w:val="000000" w:themeColor="text1"/>
          <w:sz w:val="20"/>
          <w:szCs w:val="20"/>
        </w:rPr>
        <w:t>data on local care seeking patterns, for targeting of interventions in health facilities</w:t>
      </w:r>
      <w:r>
        <w:rPr>
          <w:rFonts w:eastAsia="SimSun" w:cs="Calibri" w:cstheme="minorHAnsi"/>
          <w:color w:val="000000" w:themeColor="text1"/>
          <w:sz w:val="20"/>
          <w:szCs w:val="20"/>
        </w:rPr>
        <w:t xml:space="preserve"> (surveillance, IPC, case management and referral). Develop behavioral indicators as necessary, and identify </w:t>
      </w:r>
      <w:r>
        <w:rPr>
          <w:rFonts w:eastAsia="SimSun" w:cs="Calibri" w:cstheme="minorHAnsi"/>
          <w:b/>
          <w:color w:val="000000" w:themeColor="text1"/>
          <w:sz w:val="20"/>
          <w:szCs w:val="20"/>
        </w:rPr>
        <w:t>data collection plan to inform the RCCE response</w:t>
      </w:r>
      <w:r>
        <w:rPr>
          <w:rFonts w:eastAsia="SimSun" w:cs="Calibri" w:cstheme="minorHAnsi"/>
          <w:color w:val="000000" w:themeColor="text1"/>
          <w:sz w:val="20"/>
          <w:szCs w:val="20"/>
        </w:rPr>
        <w:t>.</w:t>
      </w:r>
    </w:p>
    <w:p>
      <w:pPr>
        <w:pStyle w:val="ListParagraph"/>
        <w:shd w:val="clear" w:color="auto" w:fill="FFFFFF"/>
        <w:spacing w:before="0" w:after="150"/>
        <w:ind w:left="1080" w:hanging="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ListParagraph"/>
        <w:numPr>
          <w:ilvl w:val="0"/>
          <w:numId w:val="35"/>
        </w:numPr>
        <w:shd w:val="clear" w:color="auto" w:fill="FFFFFF"/>
        <w:spacing w:before="0" w:after="150"/>
        <w:contextualSpacing/>
        <w:jc w:val="both"/>
        <w:rPr>
          <w:rFonts w:eastAsia="SimSun" w:cs="Calibri" w:cstheme="minorHAnsi"/>
          <w:color w:val="000000" w:themeColor="text1"/>
          <w:sz w:val="20"/>
          <w:szCs w:val="20"/>
        </w:rPr>
      </w:pPr>
      <w:r>
        <w:rPr>
          <w:rFonts w:eastAsia="SimSun" w:cs="Calibri" w:cstheme="minorHAnsi"/>
          <w:b/>
          <w:color w:val="000000" w:themeColor="text1"/>
          <w:sz w:val="20"/>
          <w:szCs w:val="20"/>
        </w:rPr>
        <w:t>Infection prevention and control (IPC)</w:t>
      </w:r>
      <w:r>
        <w:rPr>
          <w:rFonts w:eastAsia="SimSun" w:cs="Calibri" w:cstheme="minorHAnsi"/>
          <w:color w:val="000000" w:themeColor="text1"/>
          <w:sz w:val="20"/>
          <w:szCs w:val="20"/>
        </w:rPr>
        <w:t>: See above 1. Enhance preparedness and country capacity</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4. Minimize morbidity and mortality due to nCoV</w:t>
      </w:r>
    </w:p>
    <w:p>
      <w:pPr>
        <w:pStyle w:val="ListParagraph"/>
        <w:rPr>
          <w:rFonts w:eastAsia="SimSun" w:cs="Calibri" w:cstheme="minorHAnsi"/>
          <w:b/>
          <w:b/>
          <w:bCs/>
          <w:sz w:val="20"/>
          <w:szCs w:val="20"/>
          <w:lang w:eastAsia="ja-JP"/>
        </w:rPr>
      </w:pPr>
      <w:r>
        <w:rPr>
          <w:rFonts w:eastAsia="SimSun" w:cs="Calibri" w:cstheme="minorHAnsi"/>
          <w:b/>
          <w:bCs/>
          <w:sz w:val="20"/>
          <w:szCs w:val="20"/>
          <w:lang w:eastAsia="ja-JP"/>
        </w:rPr>
      </w:r>
    </w:p>
    <w:p>
      <w:pPr>
        <w:pStyle w:val="Normal"/>
        <w:numPr>
          <w:ilvl w:val="0"/>
          <w:numId w:val="14"/>
        </w:numPr>
        <w:shd w:val="clear" w:color="auto" w:fill="FFFFFF"/>
        <w:spacing w:before="0" w:after="150"/>
        <w:ind w:left="360" w:hanging="360"/>
        <w:jc w:val="both"/>
        <w:rPr>
          <w:rFonts w:eastAsia="SimSun" w:cs="Calibri" w:cstheme="minorHAnsi"/>
          <w:b/>
          <w:b/>
          <w:color w:val="000000" w:themeColor="text1"/>
          <w:sz w:val="20"/>
          <w:szCs w:val="20"/>
        </w:rPr>
      </w:pPr>
      <w:r>
        <w:rPr>
          <w:rFonts w:eastAsia="SimSun" w:cs="Calibri" w:cstheme="minorHAnsi"/>
          <w:b/>
          <w:color w:val="000000" w:themeColor="text1"/>
          <w:sz w:val="20"/>
          <w:szCs w:val="20"/>
        </w:rPr>
        <w:t>Surveillance and early warning system</w:t>
      </w:r>
    </w:p>
    <w:p>
      <w:pPr>
        <w:pStyle w:val="Normal"/>
        <w:numPr>
          <w:ilvl w:val="0"/>
          <w:numId w:val="28"/>
        </w:numPr>
        <w:shd w:val="clear" w:color="auto" w:fill="FFFFFF"/>
        <w:spacing w:before="0" w:after="150"/>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Support the national </w:t>
      </w:r>
      <w:r>
        <w:rPr>
          <w:rFonts w:eastAsia="SimSun" w:cs="Calibri" w:cstheme="minorHAnsi"/>
          <w:b/>
          <w:color w:val="000000" w:themeColor="text1"/>
          <w:sz w:val="20"/>
          <w:szCs w:val="20"/>
        </w:rPr>
        <w:t xml:space="preserve">early warning and alert systems and outbreak investigations in country and across borders through health, RCCE, WASH and other programs as appropriate. </w:t>
      </w:r>
      <w:r>
        <w:rPr>
          <w:rFonts w:eastAsia="SimSun" w:cs="Calibri" w:cstheme="minorHAnsi"/>
          <w:color w:val="000000" w:themeColor="text1"/>
          <w:sz w:val="20"/>
          <w:szCs w:val="20"/>
        </w:rPr>
        <w:t>Support the</w:t>
      </w:r>
      <w:r>
        <w:rPr>
          <w:rFonts w:eastAsia="SimSun" w:cs="Calibri" w:cstheme="minorHAnsi"/>
          <w:b/>
          <w:color w:val="000000" w:themeColor="text1"/>
          <w:sz w:val="20"/>
          <w:szCs w:val="20"/>
        </w:rPr>
        <w:t xml:space="preserve"> </w:t>
      </w:r>
      <w:r>
        <w:rPr>
          <w:rFonts w:eastAsia="SimSun" w:cs="Calibri" w:cstheme="minorHAnsi"/>
          <w:color w:val="000000" w:themeColor="text1"/>
          <w:sz w:val="20"/>
          <w:szCs w:val="20"/>
        </w:rPr>
        <w:t xml:space="preserve">integration of nCoV surveillance with other surveillance systems and </w:t>
      </w:r>
      <w:r>
        <w:rPr>
          <w:rFonts w:eastAsia="SimSun" w:cs="Calibri" w:cstheme="minorHAnsi"/>
          <w:b/>
          <w:color w:val="000000" w:themeColor="text1"/>
          <w:sz w:val="20"/>
          <w:szCs w:val="20"/>
        </w:rPr>
        <w:t xml:space="preserve">seek synergies with existing surveillance networks </w:t>
      </w:r>
      <w:r>
        <w:rPr>
          <w:rFonts w:eastAsia="SimSun" w:cs="Calibri" w:cstheme="minorHAnsi"/>
          <w:color w:val="000000" w:themeColor="text1"/>
          <w:sz w:val="20"/>
          <w:szCs w:val="20"/>
        </w:rPr>
        <w:t>(including</w:t>
      </w:r>
      <w:r>
        <w:rPr>
          <w:rFonts w:eastAsia="SimSun" w:cs="Calibri" w:cstheme="minorHAnsi"/>
          <w:b/>
          <w:color w:val="000000" w:themeColor="text1"/>
          <w:sz w:val="20"/>
          <w:szCs w:val="20"/>
        </w:rPr>
        <w:t xml:space="preserve"> </w:t>
      </w:r>
      <w:r>
        <w:rPr>
          <w:rFonts w:cs="Calibri" w:cstheme="minorHAnsi"/>
          <w:color w:val="000000" w:themeColor="text1"/>
          <w:sz w:val="20"/>
          <w:szCs w:val="20"/>
        </w:rPr>
        <w:t xml:space="preserve">existing polio surveillance networks) where appropriate. Include </w:t>
      </w:r>
      <w:r>
        <w:rPr>
          <w:rFonts w:cs="Calibri" w:cstheme="minorHAnsi"/>
          <w:b/>
          <w:color w:val="000000" w:themeColor="text1"/>
          <w:sz w:val="20"/>
          <w:szCs w:val="20"/>
        </w:rPr>
        <w:t>systematic collection of age categories and sex disaggregated data, as well as pregnancy status, as appropriate</w:t>
      </w:r>
      <w:r>
        <w:rPr>
          <w:rFonts w:cs="Calibri" w:cstheme="minorHAnsi"/>
          <w:color w:val="000000" w:themeColor="text1"/>
          <w:sz w:val="20"/>
          <w:szCs w:val="20"/>
        </w:rPr>
        <w:t>.</w:t>
      </w:r>
    </w:p>
    <w:p>
      <w:pPr>
        <w:pStyle w:val="Normal"/>
        <w:numPr>
          <w:ilvl w:val="0"/>
          <w:numId w:val="28"/>
        </w:numPr>
        <w:shd w:val="clear" w:color="auto" w:fill="FFFFFF"/>
        <w:spacing w:lineRule="atLeast" w:line="225" w:before="0" w:after="150"/>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Through community-based programs, </w:t>
      </w:r>
      <w:r>
        <w:rPr>
          <w:rFonts w:eastAsia="SimSun" w:cs="Calibri" w:cstheme="minorHAnsi"/>
          <w:b/>
          <w:color w:val="000000" w:themeColor="text1"/>
          <w:sz w:val="20"/>
          <w:szCs w:val="20"/>
        </w:rPr>
        <w:t xml:space="preserve">engage and sensitize key influencers and networks to detect and report suspected cases of nCoV </w:t>
      </w:r>
      <w:r>
        <w:rPr>
          <w:rFonts w:eastAsia="SimSun" w:cs="Calibri" w:cstheme="minorHAnsi"/>
          <w:color w:val="000000" w:themeColor="text1"/>
          <w:sz w:val="20"/>
          <w:szCs w:val="20"/>
        </w:rPr>
        <w:t xml:space="preserve">(community-based disease surveillance). As appropriate, include surveillance in animal populations by local communities as early indicators of outbreaks/epidemics. </w:t>
      </w:r>
    </w:p>
    <w:p>
      <w:pPr>
        <w:pStyle w:val="Normal"/>
        <w:numPr>
          <w:ilvl w:val="0"/>
          <w:numId w:val="36"/>
        </w:numPr>
        <w:shd w:val="clear" w:color="auto" w:fill="FFFFFF"/>
        <w:spacing w:lineRule="atLeast" w:line="225" w:before="0" w:after="150"/>
        <w:ind w:left="360" w:hanging="360"/>
        <w:jc w:val="both"/>
        <w:rPr>
          <w:rFonts w:eastAsia="SimSun" w:cs="Calibri" w:cstheme="minorHAnsi"/>
          <w:b/>
          <w:b/>
          <w:color w:val="000000" w:themeColor="text1"/>
          <w:sz w:val="20"/>
          <w:szCs w:val="20"/>
        </w:rPr>
      </w:pPr>
      <w:r>
        <w:rPr>
          <w:rFonts w:eastAsia="SimSun" w:cs="Calibri" w:cstheme="minorHAnsi"/>
          <w:b/>
          <w:color w:val="000000" w:themeColor="text1"/>
          <w:sz w:val="20"/>
          <w:szCs w:val="20"/>
        </w:rPr>
        <w:t>Case management</w:t>
      </w:r>
      <w:r>
        <w:rPr>
          <w:rFonts w:eastAsia="SimSun" w:cs="Calibri" w:cstheme="minorHAnsi"/>
          <w:color w:val="000000" w:themeColor="text1"/>
          <w:sz w:val="20"/>
          <w:szCs w:val="20"/>
        </w:rPr>
        <w:t xml:space="preserve">, </w:t>
      </w:r>
      <w:r>
        <w:rPr>
          <w:rFonts w:eastAsia="SimSun" w:cs="Calibri" w:cstheme="minorHAnsi"/>
          <w:b/>
          <w:color w:val="000000" w:themeColor="text1"/>
          <w:sz w:val="20"/>
          <w:szCs w:val="20"/>
        </w:rPr>
        <w:t>breastfeeding</w:t>
      </w:r>
      <w:r>
        <w:rPr>
          <w:rFonts w:eastAsia="SimSun" w:cs="Calibri" w:cstheme="minorHAnsi"/>
          <w:color w:val="000000" w:themeColor="text1"/>
          <w:sz w:val="20"/>
          <w:szCs w:val="20"/>
        </w:rPr>
        <w:t xml:space="preserve"> recommendations</w:t>
      </w:r>
      <w:r>
        <w:rPr>
          <w:rFonts w:eastAsia="SimSun" w:cs="Calibri" w:cstheme="minorHAnsi"/>
          <w:b/>
          <w:color w:val="000000" w:themeColor="text1"/>
          <w:sz w:val="20"/>
          <w:szCs w:val="20"/>
        </w:rPr>
        <w:t xml:space="preserve">: </w:t>
      </w:r>
      <w:r>
        <w:rPr>
          <w:rFonts w:eastAsia="SimSun" w:cs="Calibri" w:cstheme="minorHAnsi"/>
          <w:color w:val="000000" w:themeColor="text1"/>
          <w:sz w:val="20"/>
          <w:szCs w:val="20"/>
        </w:rPr>
        <w:t>See above 1. Enhance preparedness and country capacity</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5. Provide appropriate supplies and equipment to control the outbreak and support the health system</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numPr>
          <w:ilvl w:val="0"/>
          <w:numId w:val="17"/>
        </w:numPr>
        <w:shd w:val="clear" w:color="auto" w:fill="FFFFFF"/>
        <w:spacing w:lineRule="atLeast" w:line="225" w:before="0" w:after="150"/>
        <w:ind w:left="360" w:hanging="360"/>
        <w:contextualSpacing/>
        <w:jc w:val="both"/>
        <w:rPr/>
      </w:pPr>
      <w:r>
        <w:rPr>
          <w:rFonts w:eastAsia="SimSun" w:cs="Calibri" w:cstheme="minorHAnsi"/>
          <w:b/>
          <w:color w:val="000000" w:themeColor="text1"/>
          <w:sz w:val="20"/>
          <w:szCs w:val="20"/>
        </w:rPr>
        <w:t xml:space="preserve">Develop and maintain an inventory of essential nCoV supplies </w:t>
      </w:r>
      <w:r>
        <w:rPr>
          <w:rFonts w:eastAsia="SimSun" w:cs="Calibri" w:cstheme="minorHAnsi"/>
          <w:color w:val="000000" w:themeColor="text1"/>
          <w:sz w:val="20"/>
          <w:szCs w:val="20"/>
        </w:rPr>
        <w:t xml:space="preserve">(reference: UNICEF Novel Coronavirus Supply Note, </w:t>
      </w:r>
      <w:hyperlink r:id="rId12">
        <w:r>
          <w:rPr>
            <w:rStyle w:val="InternetLink"/>
            <w:rFonts w:eastAsia="Calibri" w:cs="Calibri" w:cstheme="minorHAnsi"/>
            <w:bCs/>
            <w:sz w:val="20"/>
            <w:szCs w:val="20"/>
          </w:rPr>
          <w:t>WHO Disease Commodity Package for Novel Coronavirus</w:t>
        </w:r>
      </w:hyperlink>
      <w:r>
        <w:rPr>
          <w:rFonts w:eastAsia="Calibri" w:cs="Calibri" w:cstheme="minorHAnsi"/>
          <w:bCs/>
          <w:sz w:val="20"/>
          <w:szCs w:val="20"/>
        </w:rPr>
        <w:t>)</w:t>
      </w:r>
      <w:r>
        <w:rPr>
          <w:rFonts w:eastAsia="SimSun" w:cs="Calibri" w:cstheme="minorHAnsi"/>
          <w:color w:val="000000" w:themeColor="text1"/>
          <w:sz w:val="20"/>
          <w:szCs w:val="20"/>
        </w:rPr>
        <w:t xml:space="preserve">. Maintain a reserve stock of supplies in high risk areas where appropriate, according to national and local risk analysis. </w:t>
      </w:r>
    </w:p>
    <w:p>
      <w:pPr>
        <w:pStyle w:val="Normal"/>
        <w:numPr>
          <w:ilvl w:val="0"/>
          <w:numId w:val="17"/>
        </w:numPr>
        <w:shd w:val="clear" w:color="auto" w:fill="FFFFFF"/>
        <w:spacing w:lineRule="atLeast" w:line="225" w:before="0" w:after="150"/>
        <w:ind w:left="360" w:hanging="360"/>
        <w:contextualSpacing/>
        <w:jc w:val="both"/>
        <w:rPr>
          <w:rFonts w:eastAsia="SimSun" w:cs="Calibri" w:cstheme="minorHAnsi"/>
          <w:color w:val="000000" w:themeColor="text1"/>
          <w:sz w:val="20"/>
          <w:szCs w:val="20"/>
        </w:rPr>
      </w:pPr>
      <w:r>
        <w:rPr>
          <w:rFonts w:eastAsia="SimSun" w:cs="Calibri" w:cstheme="minorHAnsi"/>
          <w:b/>
          <w:color w:val="000000" w:themeColor="text1"/>
          <w:sz w:val="20"/>
          <w:szCs w:val="20"/>
        </w:rPr>
        <w:t>Prepare supply plans and distribution strategies</w:t>
      </w:r>
      <w:r>
        <w:rPr>
          <w:rFonts w:eastAsia="SimSun" w:cs="Calibri" w:cstheme="minorHAnsi"/>
          <w:color w:val="000000" w:themeColor="text1"/>
          <w:sz w:val="20"/>
          <w:szCs w:val="20"/>
        </w:rPr>
        <w:t xml:space="preserve"> based on local capacity and the contingency plan.</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6. Prevent and address the secondary impact of the outbreak – minimize the human consequences of the outbreak</w:t>
      </w:r>
    </w:p>
    <w:p>
      <w:pPr>
        <w:pStyle w:val="ListParagraph"/>
        <w:rPr>
          <w:rFonts w:eastAsia="SimSun" w:cs="Calibri" w:cstheme="minorHAnsi"/>
          <w:b/>
          <w:b/>
          <w:bCs/>
          <w:sz w:val="20"/>
          <w:szCs w:val="20"/>
          <w:lang w:eastAsia="ja-JP"/>
        </w:rPr>
      </w:pPr>
      <w:r>
        <w:rPr>
          <w:rFonts w:eastAsia="SimSun" w:cs="Calibri" w:cstheme="minorHAnsi"/>
          <w:b/>
          <w:bCs/>
          <w:sz w:val="20"/>
          <w:szCs w:val="20"/>
          <w:lang w:eastAsia="ja-JP"/>
        </w:rPr>
      </w:r>
    </w:p>
    <w:p>
      <w:pPr>
        <w:pStyle w:val="NoSpacing"/>
        <w:numPr>
          <w:ilvl w:val="0"/>
          <w:numId w:val="3"/>
        </w:numPr>
        <w:jc w:val="both"/>
        <w:rPr>
          <w:rFonts w:cs="Calibri" w:cstheme="minorHAnsi"/>
          <w:color w:val="000000" w:themeColor="text1"/>
          <w:sz w:val="20"/>
          <w:szCs w:val="20"/>
        </w:rPr>
      </w:pPr>
      <w:r>
        <w:rPr>
          <w:rFonts w:cs="Calibri" w:cstheme="minorHAnsi"/>
          <w:b/>
          <w:sz w:val="20"/>
          <w:szCs w:val="20"/>
        </w:rPr>
        <w:t>Support the continuity of health and social services</w:t>
      </w:r>
      <w:r>
        <w:rPr>
          <w:rFonts w:cs="Calibri" w:cstheme="minorHAnsi"/>
          <w:sz w:val="20"/>
          <w:szCs w:val="20"/>
        </w:rPr>
        <w:t xml:space="preserve"> (i.e. child, maternal, newborn health services, HIV services, vaccinations, WASH, nutrition) including </w:t>
      </w:r>
      <w:r>
        <w:rPr>
          <w:rFonts w:cs="Calibri" w:cstheme="minorHAnsi"/>
          <w:b/>
          <w:sz w:val="20"/>
          <w:szCs w:val="20"/>
        </w:rPr>
        <w:t>safe delivery of</w:t>
      </w:r>
      <w:r>
        <w:rPr>
          <w:rFonts w:cs="Calibri" w:cstheme="minorHAnsi"/>
          <w:sz w:val="20"/>
          <w:szCs w:val="20"/>
        </w:rPr>
        <w:t xml:space="preserve"> </w:t>
      </w:r>
      <w:r>
        <w:rPr>
          <w:rFonts w:cs="Calibri" w:cstheme="minorHAnsi"/>
          <w:b/>
          <w:sz w:val="20"/>
          <w:szCs w:val="20"/>
        </w:rPr>
        <w:t>education</w:t>
      </w:r>
      <w:r>
        <w:rPr>
          <w:rFonts w:cs="Calibri" w:cstheme="minorHAnsi"/>
          <w:color w:val="000000" w:themeColor="text1"/>
          <w:sz w:val="20"/>
          <w:szCs w:val="20"/>
        </w:rPr>
        <w:t xml:space="preserve"> </w:t>
      </w:r>
    </w:p>
    <w:p>
      <w:pPr>
        <w:pStyle w:val="ListParagraph"/>
        <w:numPr>
          <w:ilvl w:val="0"/>
          <w:numId w:val="3"/>
        </w:numPr>
        <w:spacing w:before="0" w:after="0"/>
        <w:contextualSpacing/>
        <w:jc w:val="both"/>
        <w:rPr>
          <w:rFonts w:cs="Calibri" w:cstheme="minorHAnsi"/>
          <w:sz w:val="20"/>
          <w:szCs w:val="20"/>
        </w:rPr>
      </w:pPr>
      <w:r>
        <w:rPr>
          <w:rFonts w:cs="Calibri" w:cstheme="minorHAnsi"/>
          <w:sz w:val="20"/>
          <w:szCs w:val="20"/>
        </w:rPr>
        <w:t xml:space="preserve">Provide adapted alternative learning support, including </w:t>
      </w:r>
      <w:r>
        <w:rPr>
          <w:rFonts w:cs="Calibri" w:cstheme="minorHAnsi"/>
          <w:b/>
          <w:sz w:val="20"/>
          <w:szCs w:val="20"/>
        </w:rPr>
        <w:t>remote schooling</w:t>
      </w:r>
      <w:r>
        <w:rPr>
          <w:rFonts w:cs="Calibri" w:cstheme="minorHAnsi"/>
          <w:sz w:val="20"/>
          <w:szCs w:val="20"/>
        </w:rPr>
        <w:t xml:space="preserve"> for school closures (see appendix)</w:t>
      </w:r>
    </w:p>
    <w:p>
      <w:pPr>
        <w:pStyle w:val="NoSpacing"/>
        <w:numPr>
          <w:ilvl w:val="0"/>
          <w:numId w:val="3"/>
        </w:numPr>
        <w:jc w:val="both"/>
        <w:rPr>
          <w:rFonts w:cs="Calibri" w:cstheme="minorHAnsi"/>
          <w:color w:val="000000" w:themeColor="text1"/>
          <w:sz w:val="20"/>
          <w:szCs w:val="20"/>
        </w:rPr>
      </w:pPr>
      <w:r>
        <w:rPr>
          <w:rFonts w:cs="Calibri" w:cstheme="minorHAnsi"/>
          <w:b/>
          <w:color w:val="000000" w:themeColor="text1"/>
          <w:sz w:val="20"/>
          <w:szCs w:val="20"/>
        </w:rPr>
        <w:t xml:space="preserve">Advocate </w:t>
      </w:r>
      <w:r>
        <w:rPr>
          <w:rFonts w:cs="Calibri" w:cstheme="minorHAnsi"/>
          <w:color w:val="000000" w:themeColor="text1"/>
          <w:sz w:val="20"/>
          <w:szCs w:val="20"/>
        </w:rPr>
        <w:t xml:space="preserve">for the </w:t>
      </w:r>
      <w:r>
        <w:rPr>
          <w:rFonts w:cs="Calibri" w:cstheme="minorHAnsi"/>
          <w:b/>
          <w:bCs/>
          <w:color w:val="000000" w:themeColor="text1"/>
          <w:sz w:val="20"/>
          <w:szCs w:val="20"/>
        </w:rPr>
        <w:t>inclusion of specific rights, needs and vulnerabilities of women and children</w:t>
      </w:r>
      <w:r>
        <w:rPr>
          <w:rFonts w:cs="Calibri" w:cstheme="minorHAnsi"/>
          <w:color w:val="000000" w:themeColor="text1"/>
          <w:sz w:val="20"/>
          <w:szCs w:val="20"/>
        </w:rPr>
        <w:t xml:space="preserve"> in prevention, early detection, care and treatment strategies and programmes. This includes </w:t>
      </w:r>
      <w:r>
        <w:rPr>
          <w:rFonts w:cs="Calibri" w:cstheme="minorHAnsi"/>
          <w:b/>
          <w:bCs/>
          <w:color w:val="000000" w:themeColor="text1"/>
          <w:sz w:val="20"/>
          <w:szCs w:val="20"/>
        </w:rPr>
        <w:t>advocacy for surveillance systems to include the systematic collection of age/age categories and sex disaggregated data, as well as pregnancy status, as appropriate</w:t>
      </w:r>
      <w:r>
        <w:rPr>
          <w:rFonts w:cs="Calibri" w:cstheme="minorHAnsi"/>
          <w:color w:val="000000" w:themeColor="text1"/>
          <w:sz w:val="20"/>
          <w:szCs w:val="20"/>
        </w:rPr>
        <w:t>.</w:t>
      </w:r>
      <w:r>
        <w:rPr>
          <w:rFonts w:cs="Calibri" w:cstheme="minorHAnsi"/>
          <w:b/>
          <w:bCs/>
          <w:color w:val="000000" w:themeColor="text1"/>
          <w:sz w:val="20"/>
          <w:szCs w:val="20"/>
        </w:rPr>
        <w:t xml:space="preserve"> </w:t>
      </w:r>
    </w:p>
    <w:p>
      <w:pPr>
        <w:pStyle w:val="NoSpacing"/>
        <w:numPr>
          <w:ilvl w:val="0"/>
          <w:numId w:val="3"/>
        </w:numPr>
        <w:jc w:val="both"/>
        <w:rPr>
          <w:rFonts w:cs="Calibri" w:cstheme="minorHAnsi"/>
          <w:color w:val="000000" w:themeColor="text1"/>
          <w:sz w:val="20"/>
          <w:szCs w:val="20"/>
        </w:rPr>
      </w:pPr>
      <w:r>
        <w:rPr>
          <w:rFonts w:cs="Calibri" w:cstheme="minorHAnsi"/>
          <w:b/>
          <w:bCs/>
          <w:color w:val="000000" w:themeColor="text1"/>
          <w:sz w:val="20"/>
          <w:szCs w:val="20"/>
        </w:rPr>
        <w:t>Advocacy should encompass pre-existing humanitarian challenges</w:t>
      </w:r>
      <w:r>
        <w:rPr>
          <w:rStyle w:val="FootnoteAnchor"/>
          <w:rStyle w:val="FootnoteAnchor"/>
          <w:rFonts w:cs="Calibri" w:cstheme="minorHAnsi"/>
          <w:color w:val="000000" w:themeColor="text1"/>
          <w:sz w:val="20"/>
          <w:szCs w:val="20"/>
          <w:vertAlign w:val="superscript"/>
        </w:rPr>
        <w:footnoteReference w:id="4"/>
      </w:r>
      <w:r>
        <w:rPr>
          <w:rFonts w:cs="Calibri" w:cstheme="minorHAnsi"/>
          <w:b/>
          <w:bCs/>
          <w:color w:val="000000" w:themeColor="text1"/>
          <w:sz w:val="20"/>
          <w:szCs w:val="20"/>
        </w:rPr>
        <w:t xml:space="preserve"> and their consequences.</w:t>
      </w:r>
      <w:r>
        <w:rPr>
          <w:rFonts w:cs="Calibri" w:cstheme="minorHAnsi"/>
          <w:bCs/>
          <w:color w:val="000000" w:themeColor="text1"/>
          <w:sz w:val="20"/>
          <w:szCs w:val="20"/>
        </w:rPr>
        <w:t xml:space="preserve"> UNICEF should advocate for and lead an effort to improve the humanitarian response and access to essential services for affected communities who have suffered from humanitarian and security crises since before the public health emergency.</w:t>
      </w:r>
    </w:p>
    <w:p>
      <w:pPr>
        <w:pStyle w:val="ListParagraph"/>
        <w:numPr>
          <w:ilvl w:val="0"/>
          <w:numId w:val="3"/>
        </w:numPr>
        <w:jc w:val="both"/>
        <w:rPr>
          <w:rFonts w:cs="Calibri" w:cstheme="minorHAnsi"/>
          <w:b/>
          <w:b/>
          <w:color w:val="000000" w:themeColor="text1"/>
        </w:rPr>
      </w:pPr>
      <w:r>
        <w:rPr>
          <w:rFonts w:cs="Calibri" w:cstheme="minorHAnsi"/>
          <w:b/>
          <w:color w:val="000000" w:themeColor="text1"/>
          <w:sz w:val="20"/>
          <w:szCs w:val="20"/>
        </w:rPr>
        <w:t xml:space="preserve">Identify vulnerable populations at-risk </w:t>
      </w:r>
      <w:r>
        <w:rPr>
          <w:rFonts w:eastAsia="SimSun" w:cs="Calibri" w:cstheme="minorHAnsi"/>
          <w:color w:val="000000" w:themeColor="text1"/>
          <w:sz w:val="20"/>
          <w:szCs w:val="20"/>
        </w:rPr>
        <w:t>(marginalized, hard-to-reach, poor access to services, etc.)</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7. Ensure staff safety and duty of care</w:t>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r>
    </w:p>
    <w:p>
      <w:pPr>
        <w:pStyle w:val="ListParagraph"/>
        <w:numPr>
          <w:ilvl w:val="0"/>
          <w:numId w:val="22"/>
        </w:numPr>
        <w:ind w:left="360" w:hanging="360"/>
        <w:jc w:val="both"/>
        <w:rPr/>
      </w:pPr>
      <w:r>
        <w:rPr>
          <w:rFonts w:eastAsia="SimSun" w:cs="Calibri" w:cstheme="minorHAnsi"/>
          <w:bCs/>
          <w:sz w:val="20"/>
          <w:szCs w:val="20"/>
          <w:lang w:eastAsia="ja-JP"/>
        </w:rPr>
        <w:t xml:space="preserve">Disseminate </w:t>
      </w:r>
      <w:hyperlink r:id="rId13">
        <w:r>
          <w:rPr>
            <w:rStyle w:val="InternetLink"/>
            <w:rFonts w:eastAsia="SimSun" w:cs="Calibri" w:cstheme="minorHAnsi"/>
            <w:bCs/>
            <w:sz w:val="20"/>
            <w:szCs w:val="20"/>
            <w:lang w:eastAsia="ja-JP"/>
          </w:rPr>
          <w:t>staff guidance for personal protection</w:t>
        </w:r>
      </w:hyperlink>
      <w:r>
        <w:rPr>
          <w:rFonts w:eastAsia="SimSun" w:cs="Calibri" w:cstheme="minorHAnsi"/>
          <w:bCs/>
          <w:sz w:val="20"/>
          <w:szCs w:val="20"/>
          <w:lang w:eastAsia="ja-JP"/>
        </w:rPr>
        <w:t>.</w:t>
      </w:r>
    </w:p>
    <w:p>
      <w:pPr>
        <w:pStyle w:val="ListParagraph"/>
        <w:numPr>
          <w:ilvl w:val="0"/>
          <w:numId w:val="22"/>
        </w:numPr>
        <w:ind w:left="360" w:hanging="360"/>
        <w:jc w:val="both"/>
        <w:rPr>
          <w:rFonts w:eastAsia="SimSun" w:cs="Calibri" w:cstheme="minorHAnsi"/>
          <w:bCs/>
          <w:sz w:val="20"/>
          <w:szCs w:val="20"/>
          <w:lang w:eastAsia="ja-JP"/>
        </w:rPr>
      </w:pPr>
      <w:r>
        <w:rPr>
          <w:rFonts w:eastAsia="SimSun" w:cs="Calibri" w:cstheme="minorHAnsi"/>
          <w:bCs/>
          <w:sz w:val="20"/>
          <w:szCs w:val="20"/>
          <w:lang w:eastAsia="ja-JP"/>
        </w:rPr>
        <w:t>Organize staff and family briefings for personal protection.</w:t>
      </w:r>
    </w:p>
    <w:p>
      <w:pPr>
        <w:pStyle w:val="ListParagraph"/>
        <w:numPr>
          <w:ilvl w:val="0"/>
          <w:numId w:val="22"/>
        </w:numPr>
        <w:ind w:left="360" w:hanging="360"/>
        <w:jc w:val="both"/>
        <w:rPr>
          <w:rFonts w:eastAsia="SimSun" w:cs="Calibri" w:cstheme="minorHAnsi"/>
          <w:bCs/>
          <w:sz w:val="20"/>
          <w:szCs w:val="20"/>
          <w:lang w:eastAsia="ja-JP"/>
        </w:rPr>
      </w:pPr>
      <w:r>
        <w:rPr>
          <w:rFonts w:eastAsia="SimSun" w:cs="Calibri" w:cstheme="minorHAnsi"/>
          <w:bCs/>
          <w:sz w:val="20"/>
          <w:szCs w:val="20"/>
          <w:lang w:eastAsia="ja-JP"/>
        </w:rPr>
        <w:t xml:space="preserve">Pre-position stocks of soap, alcohol-based hand sanitizers, and disinfection materials. </w:t>
      </w:r>
      <w:r>
        <w:rPr>
          <w:rFonts w:eastAsia="SimSun" w:cs="Calibri" w:cstheme="minorHAnsi"/>
          <w:bCs/>
          <w:sz w:val="20"/>
          <w:szCs w:val="20"/>
          <w:u w:val="single"/>
          <w:lang w:eastAsia="ja-JP"/>
        </w:rPr>
        <w:t>Medical masks are not needed nor recommended</w:t>
      </w:r>
      <w:r>
        <w:rPr>
          <w:rFonts w:eastAsia="SimSun" w:cs="Calibri" w:cstheme="minorHAnsi"/>
          <w:bCs/>
          <w:sz w:val="20"/>
          <w:szCs w:val="20"/>
          <w:lang w:eastAsia="ja-JP"/>
        </w:rPr>
        <w:t xml:space="preserve"> for individuals without symptoms.</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shd w:val="clear" w:color="auto" w:fill="FFFFFF"/>
        <w:spacing w:lineRule="atLeast" w:line="225" w:before="0" w:after="150"/>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t>8. Office operations: preparedness and business continuity</w:t>
      </w:r>
    </w:p>
    <w:p>
      <w:pPr>
        <w:pStyle w:val="NoSpacing"/>
        <w:numPr>
          <w:ilvl w:val="0"/>
          <w:numId w:val="3"/>
        </w:numPr>
        <w:jc w:val="both"/>
        <w:rPr/>
      </w:pPr>
      <w:r>
        <w:rPr>
          <w:rFonts w:cs="Calibri" w:cstheme="minorHAnsi"/>
          <w:b/>
          <w:color w:val="000000" w:themeColor="text1"/>
          <w:sz w:val="20"/>
          <w:szCs w:val="20"/>
        </w:rPr>
        <w:t xml:space="preserve">Undertake a rigorous self-assessment </w:t>
      </w:r>
      <w:r>
        <w:rPr>
          <w:rFonts w:cs="Calibri" w:cstheme="minorHAnsi"/>
          <w:color w:val="000000" w:themeColor="text1"/>
          <w:sz w:val="20"/>
          <w:szCs w:val="20"/>
        </w:rPr>
        <w:t xml:space="preserve">of the CO capacity and compliance with the </w:t>
      </w:r>
      <w:hyperlink r:id="rId14">
        <w:r>
          <w:rPr>
            <w:rStyle w:val="InternetLink"/>
            <w:rFonts w:eastAsia="SimSun" w:cs="Calibri" w:cstheme="minorHAnsi"/>
            <w:sz w:val="20"/>
            <w:szCs w:val="20"/>
          </w:rPr>
          <w:t>Minimum Preparedness Standards (</w:t>
        </w:r>
        <w:r>
          <w:rPr>
            <w:rStyle w:val="InternetLink"/>
            <w:rFonts w:cs="Calibri" w:cstheme="minorHAnsi"/>
            <w:sz w:val="20"/>
            <w:szCs w:val="20"/>
          </w:rPr>
          <w:t>MPS) and Emergency preparedness procedures</w:t>
        </w:r>
      </w:hyperlink>
      <w:r>
        <w:rPr>
          <w:rFonts w:cs="Calibri" w:cstheme="minorHAnsi"/>
          <w:color w:val="000000" w:themeColor="text1"/>
          <w:sz w:val="20"/>
          <w:szCs w:val="20"/>
        </w:rPr>
        <w:t>.</w:t>
      </w:r>
    </w:p>
    <w:p>
      <w:pPr>
        <w:pStyle w:val="NoSpacing"/>
        <w:numPr>
          <w:ilvl w:val="0"/>
          <w:numId w:val="3"/>
        </w:numPr>
        <w:jc w:val="both"/>
        <w:rPr>
          <w:rFonts w:cs="Calibri" w:cstheme="minorHAnsi"/>
          <w:b/>
          <w:b/>
          <w:color w:val="000000" w:themeColor="text1"/>
          <w:sz w:val="20"/>
          <w:szCs w:val="20"/>
        </w:rPr>
      </w:pPr>
      <w:r>
        <w:rPr>
          <w:rFonts w:cs="Calibri" w:cstheme="minorHAnsi"/>
          <w:b/>
          <w:color w:val="000000" w:themeColor="text1"/>
          <w:sz w:val="20"/>
          <w:szCs w:val="20"/>
        </w:rPr>
        <w:t>Pre-identify UNICEF emergency focal points in each sector</w:t>
      </w:r>
      <w:r>
        <w:rPr>
          <w:rFonts w:cs="Calibri" w:cstheme="minorHAnsi"/>
          <w:color w:val="000000" w:themeColor="text1"/>
          <w:sz w:val="20"/>
          <w:szCs w:val="20"/>
        </w:rPr>
        <w:t xml:space="preserve"> (e.g. health, C4D, WASH, education, child protection, nutrition, media/external communications, supply and logistics, emergency operations, human resources, M&amp;E, resource mobilization) and update every year as part of preparedness and contingency plan exercises.  </w:t>
      </w:r>
    </w:p>
    <w:p>
      <w:pPr>
        <w:pStyle w:val="NoSpacing"/>
        <w:numPr>
          <w:ilvl w:val="0"/>
          <w:numId w:val="3"/>
        </w:numPr>
        <w:jc w:val="both"/>
        <w:rPr>
          <w:rFonts w:cs="Calibri" w:cstheme="minorHAnsi"/>
          <w:color w:val="000000" w:themeColor="text1"/>
          <w:sz w:val="20"/>
          <w:szCs w:val="20"/>
        </w:rPr>
      </w:pPr>
      <w:r>
        <w:rPr>
          <w:rFonts w:cs="Calibri" w:cstheme="minorHAnsi"/>
          <w:b/>
          <w:color w:val="000000" w:themeColor="text1"/>
          <w:sz w:val="20"/>
          <w:szCs w:val="20"/>
        </w:rPr>
        <w:t>Pre-identify and develop agreements with implementing partners</w:t>
      </w:r>
      <w:r>
        <w:rPr>
          <w:rFonts w:cs="Calibri" w:cstheme="minorHAnsi"/>
          <w:color w:val="000000" w:themeColor="text1"/>
          <w:sz w:val="20"/>
          <w:szCs w:val="20"/>
        </w:rPr>
        <w:t xml:space="preserve"> to deliver services for nCoV control.  Consider including emergency clauses</w:t>
      </w:r>
      <w:r>
        <w:rPr>
          <w:rStyle w:val="FootnoteAnchor"/>
          <w:rStyle w:val="FootnoteAnchor"/>
          <w:rFonts w:cs="Calibri" w:cstheme="minorHAnsi"/>
          <w:color w:val="000000" w:themeColor="text1"/>
          <w:sz w:val="20"/>
          <w:szCs w:val="20"/>
          <w:vertAlign w:val="superscript"/>
        </w:rPr>
        <w:footnoteReference w:id="5"/>
      </w:r>
      <w:r>
        <w:rPr>
          <w:rFonts w:cs="Calibri" w:cstheme="minorHAnsi"/>
          <w:color w:val="000000" w:themeColor="text1"/>
          <w:sz w:val="20"/>
          <w:szCs w:val="20"/>
        </w:rPr>
        <w:t xml:space="preserve"> in existing PCAs (Programme Cooperation Agreement), developing contingency or standby PCAs</w:t>
      </w:r>
      <w:r>
        <w:rPr>
          <w:rStyle w:val="FootnoteAnchor"/>
          <w:rStyle w:val="FootnoteAnchor"/>
          <w:rFonts w:cs="Calibri" w:cstheme="minorHAnsi"/>
          <w:color w:val="000000" w:themeColor="text1"/>
          <w:sz w:val="20"/>
          <w:szCs w:val="20"/>
          <w:vertAlign w:val="superscript"/>
        </w:rPr>
        <w:footnoteReference w:id="6"/>
      </w:r>
      <w:r>
        <w:rPr>
          <w:rFonts w:cs="Calibri" w:cstheme="minorHAnsi"/>
          <w:color w:val="000000" w:themeColor="text1"/>
          <w:sz w:val="20"/>
          <w:szCs w:val="20"/>
        </w:rPr>
        <w:t>.</w:t>
      </w:r>
    </w:p>
    <w:p>
      <w:pPr>
        <w:pStyle w:val="NoSpacing"/>
        <w:numPr>
          <w:ilvl w:val="0"/>
          <w:numId w:val="3"/>
        </w:numPr>
        <w:jc w:val="both"/>
        <w:rPr>
          <w:rFonts w:cs="Calibri" w:cstheme="minorHAnsi"/>
          <w:color w:val="000000" w:themeColor="text1"/>
          <w:sz w:val="20"/>
          <w:szCs w:val="20"/>
        </w:rPr>
      </w:pPr>
      <w:r>
        <w:rPr>
          <w:rFonts w:cs="Calibri" w:cstheme="minorHAnsi"/>
          <w:color w:val="000000" w:themeColor="text1"/>
          <w:sz w:val="20"/>
          <w:szCs w:val="20"/>
        </w:rPr>
        <w:t xml:space="preserve">Identify potential </w:t>
      </w:r>
      <w:r>
        <w:rPr>
          <w:rFonts w:cs="Calibri" w:cstheme="minorHAnsi"/>
          <w:b/>
          <w:color w:val="000000" w:themeColor="text1"/>
          <w:sz w:val="20"/>
          <w:szCs w:val="20"/>
        </w:rPr>
        <w:t>surge support needs</w:t>
      </w:r>
      <w:r>
        <w:rPr>
          <w:rFonts w:cs="Calibri" w:cstheme="minorHAnsi"/>
          <w:color w:val="000000" w:themeColor="text1"/>
          <w:sz w:val="20"/>
          <w:szCs w:val="20"/>
        </w:rPr>
        <w:t xml:space="preserve">.  Review the HR staff deployment guidance. </w:t>
      </w:r>
    </w:p>
    <w:p>
      <w:pPr>
        <w:pStyle w:val="NoSpacing"/>
        <w:numPr>
          <w:ilvl w:val="0"/>
          <w:numId w:val="3"/>
        </w:numPr>
        <w:jc w:val="both"/>
        <w:rPr>
          <w:rFonts w:cs="Calibri" w:cstheme="minorHAnsi"/>
          <w:color w:val="000000" w:themeColor="text1"/>
          <w:sz w:val="20"/>
          <w:szCs w:val="20"/>
        </w:rPr>
      </w:pPr>
      <w:r>
        <w:rPr>
          <w:rFonts w:cs="Calibri" w:cstheme="minorHAnsi"/>
          <w:b/>
          <w:color w:val="000000" w:themeColor="text1"/>
          <w:sz w:val="20"/>
          <w:szCs w:val="20"/>
        </w:rPr>
        <w:t>Identify funding requirements</w:t>
      </w:r>
      <w:r>
        <w:rPr>
          <w:rFonts w:cs="Calibri" w:cstheme="minorHAnsi"/>
          <w:color w:val="000000" w:themeColor="text1"/>
          <w:sz w:val="20"/>
          <w:szCs w:val="20"/>
        </w:rPr>
        <w:t xml:space="preserve"> for preparedness and response activities during an nCoV outbreak (including re-programming existing funds).  </w:t>
      </w:r>
    </w:p>
    <w:p>
      <w:pPr>
        <w:pStyle w:val="NoSpacing"/>
        <w:numPr>
          <w:ilvl w:val="0"/>
          <w:numId w:val="3"/>
        </w:numPr>
        <w:jc w:val="both"/>
        <w:rPr>
          <w:rFonts w:eastAsia="Times New Roman" w:cs="Calibri" w:cstheme="minorHAnsi"/>
          <w:color w:val="000000" w:themeColor="text1"/>
          <w:sz w:val="20"/>
          <w:szCs w:val="20"/>
        </w:rPr>
      </w:pPr>
      <w:r>
        <w:rPr>
          <w:rFonts w:cs="Calibri" w:cstheme="minorHAnsi"/>
          <w:color w:val="000000" w:themeColor="text1"/>
          <w:sz w:val="20"/>
          <w:szCs w:val="20"/>
        </w:rPr>
        <w:t>Review/update Business Continuity Plans appropriate, and the Security Risk Management document.</w:t>
      </w:r>
    </w:p>
    <w:p>
      <w:pPr>
        <w:pStyle w:val="NoSpacing"/>
        <w:ind w:left="360" w:hanging="0"/>
        <w:jc w:val="both"/>
        <w:rPr>
          <w:rFonts w:eastAsia="Times New Roman" w:cs="Calibri" w:cstheme="minorHAnsi"/>
          <w:color w:val="000000" w:themeColor="text1"/>
          <w:sz w:val="20"/>
          <w:szCs w:val="20"/>
        </w:rPr>
      </w:pPr>
      <w:r>
        <w:rPr>
          <w:rFonts w:eastAsia="Times New Roman" w:cs="Calibri" w:cstheme="minorHAnsi"/>
          <w:color w:val="000000" w:themeColor="text1"/>
          <w:sz w:val="20"/>
          <w:szCs w:val="20"/>
        </w:rPr>
      </w:r>
    </w:p>
    <w:p>
      <w:pPr>
        <w:pStyle w:val="Normal"/>
        <w:spacing w:lineRule="auto" w:line="276" w:before="0" w:after="200"/>
        <w:rPr>
          <w:rFonts w:cs="Calibri" w:cstheme="minorHAnsi"/>
          <w:b/>
          <w:b/>
          <w:color w:val="00B0F0"/>
          <w:sz w:val="22"/>
          <w:szCs w:val="22"/>
        </w:rPr>
      </w:pPr>
      <w:r>
        <w:rPr>
          <w:rFonts w:cs="Calibri" w:cstheme="minorHAnsi"/>
          <w:b/>
          <w:color w:val="00B0F0"/>
          <w:sz w:val="22"/>
          <w:szCs w:val="22"/>
        </w:rPr>
      </w:r>
      <w:r>
        <w:br w:type="page"/>
      </w:r>
    </w:p>
    <w:p>
      <w:pPr>
        <w:pStyle w:val="Normal"/>
        <w:spacing w:lineRule="atLeast" w:line="225"/>
        <w:jc w:val="both"/>
        <w:rPr>
          <w:rFonts w:cs="Calibri" w:cstheme="minorHAnsi"/>
          <w:b/>
          <w:b/>
          <w:color w:val="00B0F0"/>
          <w:sz w:val="22"/>
          <w:szCs w:val="22"/>
        </w:rPr>
      </w:pPr>
      <w:r>
        <w:rPr>
          <w:rFonts w:cs="Calibri" w:cstheme="minorHAnsi"/>
          <w:b/>
          <w:color w:val="00B0F0"/>
          <w:sz w:val="22"/>
          <w:szCs w:val="22"/>
        </w:rPr>
      </w:r>
    </w:p>
    <w:p>
      <w:pPr>
        <w:pStyle w:val="Normal"/>
        <w:numPr>
          <w:ilvl w:val="0"/>
          <w:numId w:val="0"/>
        </w:numPr>
        <w:pBdr>
          <w:top w:val="single" w:sz="24" w:space="0" w:color="099BDD"/>
          <w:left w:val="single" w:sz="24" w:space="0" w:color="099BDD"/>
          <w:bottom w:val="single" w:sz="24" w:space="0" w:color="099BDD"/>
          <w:right w:val="single" w:sz="24" w:space="0" w:color="099BDD"/>
        </w:pBdr>
        <w:shd w:val="clear" w:color="auto" w:fill="099BDD"/>
        <w:spacing w:lineRule="atLeast" w:line="225" w:before="120" w:after="0"/>
        <w:outlineLvl w:val="0"/>
        <w:rPr>
          <w:rFonts w:eastAsia="SimSun" w:cs="Calibri" w:cstheme="minorHAnsi"/>
          <w:caps/>
          <w:color w:val="FFFFFF"/>
          <w:spacing w:val="15"/>
          <w:sz w:val="22"/>
          <w:szCs w:val="22"/>
          <w:lang w:eastAsia="ja-JP"/>
        </w:rPr>
      </w:pPr>
      <w:r>
        <w:rPr>
          <w:rFonts w:eastAsia="SimSun" w:cs="Calibri" w:cstheme="minorHAnsi"/>
          <w:caps/>
          <w:color w:val="FFFFFF"/>
          <w:spacing w:val="15"/>
          <w:sz w:val="22"/>
          <w:szCs w:val="22"/>
          <w:lang w:eastAsia="ja-JP"/>
        </w:rPr>
        <w:t xml:space="preserve">unicef actions for </w:t>
      </w:r>
      <w:r>
        <w:rPr>
          <w:rFonts w:eastAsia="SimSun" w:cs="Calibri" w:cstheme="minorHAnsi"/>
          <w:b/>
          <w:caps/>
          <w:color w:val="FFFFFF"/>
          <w:spacing w:val="15"/>
          <w:sz w:val="22"/>
          <w:szCs w:val="22"/>
          <w:lang w:eastAsia="ja-JP"/>
        </w:rPr>
        <w:t xml:space="preserve">response </w:t>
      </w:r>
      <w:r>
        <w:rPr>
          <w:rFonts w:eastAsia="SimSun" w:cs="Calibri" w:cstheme="minorHAnsi"/>
          <w:caps/>
          <w:color w:val="FFFFFF"/>
          <w:spacing w:val="15"/>
          <w:sz w:val="22"/>
          <w:szCs w:val="22"/>
          <w:lang w:eastAsia="ja-JP"/>
        </w:rPr>
        <w:t>against 2019-ncov</w:t>
      </w:r>
    </w:p>
    <w:p>
      <w:pPr>
        <w:pStyle w:val="Normal"/>
        <w:jc w:val="both"/>
        <w:rPr>
          <w:rFonts w:cs="Calibri" w:cstheme="minorHAnsi"/>
          <w:i/>
          <w:i/>
          <w:sz w:val="20"/>
          <w:szCs w:val="20"/>
        </w:rPr>
      </w:pPr>
      <w:r>
        <w:rPr>
          <w:rFonts w:cs="Calibri" w:cstheme="minorHAnsi"/>
          <w:i/>
          <w:sz w:val="20"/>
          <w:szCs w:val="20"/>
        </w:rPr>
      </w:r>
    </w:p>
    <w:p>
      <w:pPr>
        <w:pStyle w:val="Normal"/>
        <w:jc w:val="both"/>
        <w:rPr>
          <w:rFonts w:cs="Calibri" w:cstheme="minorHAnsi"/>
          <w:i/>
          <w:i/>
          <w:sz w:val="20"/>
          <w:szCs w:val="20"/>
        </w:rPr>
      </w:pPr>
      <w:r>
        <w:rPr>
          <w:rFonts w:cs="Calibri" w:cstheme="minorHAnsi"/>
          <w:i/>
          <w:sz w:val="20"/>
          <w:szCs w:val="20"/>
        </w:rPr>
        <w:t xml:space="preserve">Please review together with UNICEF Actions for Preparedness above. </w:t>
      </w:r>
    </w:p>
    <w:p>
      <w:pPr>
        <w:pStyle w:val="Normal"/>
        <w:spacing w:lineRule="atLeast" w:line="225"/>
        <w:jc w:val="both"/>
        <w:rPr>
          <w:rFonts w:cs="Calibri" w:cstheme="minorHAnsi"/>
          <w:i/>
          <w:i/>
          <w:sz w:val="20"/>
          <w:szCs w:val="20"/>
        </w:rPr>
      </w:pPr>
      <w:r>
        <w:rPr>
          <w:rFonts w:cs="Calibri" w:cstheme="minorHAnsi"/>
          <w:i/>
          <w:sz w:val="20"/>
          <w:szCs w:val="20"/>
        </w:rPr>
        <w:t>All response activities must also include preparedness actions for scaling up response, and readiness/early response in neighboring areas at-risk.</w:t>
      </w:r>
    </w:p>
    <w:p>
      <w:pPr>
        <w:pStyle w:val="Normal"/>
        <w:spacing w:lineRule="atLeast" w:line="225"/>
        <w:jc w:val="both"/>
        <w:rPr>
          <w:rFonts w:cs="Calibri" w:cstheme="minorHAnsi"/>
          <w:b/>
          <w:b/>
          <w:color w:val="00B0F0"/>
          <w:sz w:val="22"/>
          <w:szCs w:val="22"/>
          <w:u w:val="single"/>
        </w:rPr>
      </w:pPr>
      <w:r>
        <w:rPr>
          <w:rFonts w:cs="Calibri" w:cstheme="minorHAnsi"/>
          <w:b/>
          <w:color w:val="00B0F0"/>
          <w:sz w:val="22"/>
          <w:szCs w:val="22"/>
          <w:u w:val="single"/>
        </w:rPr>
      </w:r>
    </w:p>
    <w:p>
      <w:pPr>
        <w:pStyle w:val="ListParagraph"/>
        <w:numPr>
          <w:ilvl w:val="0"/>
          <w:numId w:val="19"/>
        </w:numPr>
        <w:ind w:left="360" w:hanging="36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Enhance risk reduction and preparedness and country capacity</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Normal"/>
        <w:numPr>
          <w:ilvl w:val="0"/>
          <w:numId w:val="4"/>
        </w:numPr>
        <w:shd w:val="clear" w:color="auto" w:fill="FFFFFF"/>
        <w:spacing w:lineRule="atLeast" w:line="225"/>
        <w:jc w:val="both"/>
        <w:rPr>
          <w:rFonts w:eastAsia="SimSun" w:cs="Calibri" w:cstheme="minorHAnsi"/>
          <w:color w:val="000000" w:themeColor="text1"/>
          <w:sz w:val="20"/>
          <w:szCs w:val="20"/>
        </w:rPr>
      </w:pPr>
      <w:r>
        <w:rPr>
          <w:rFonts w:eastAsia="SimSun" w:cs="Calibri" w:cstheme="minorHAnsi"/>
          <w:b/>
          <w:color w:val="000000" w:themeColor="text1"/>
          <w:sz w:val="20"/>
          <w:szCs w:val="20"/>
        </w:rPr>
        <w:t>Advocate</w:t>
      </w:r>
      <w:r>
        <w:rPr>
          <w:rFonts w:eastAsia="SimSun" w:cs="Calibri" w:cstheme="minorHAnsi"/>
          <w:color w:val="000000" w:themeColor="text1"/>
          <w:sz w:val="20"/>
          <w:szCs w:val="20"/>
        </w:rPr>
        <w:t xml:space="preserve"> for </w:t>
      </w:r>
      <w:r>
        <w:rPr>
          <w:rFonts w:eastAsia="SimSun" w:cs="Calibri" w:cstheme="minorHAnsi"/>
          <w:b/>
          <w:color w:val="000000" w:themeColor="text1"/>
          <w:sz w:val="20"/>
          <w:szCs w:val="20"/>
        </w:rPr>
        <w:t>timely sharing of information and advice to affected populations</w:t>
      </w:r>
      <w:r>
        <w:rPr>
          <w:rFonts w:eastAsia="SimSun" w:cs="Calibri" w:cstheme="minorHAnsi"/>
          <w:color w:val="000000" w:themeColor="text1"/>
          <w:sz w:val="20"/>
          <w:szCs w:val="20"/>
        </w:rPr>
        <w:t xml:space="preserve">, increase visibility and resource mobilization to ensure affected and at-risk children and communities have </w:t>
      </w:r>
      <w:r>
        <w:rPr>
          <w:rFonts w:eastAsia="SimSun" w:cs="Calibri" w:cstheme="minorHAnsi"/>
          <w:b/>
          <w:color w:val="000000" w:themeColor="text1"/>
          <w:sz w:val="20"/>
          <w:szCs w:val="20"/>
        </w:rPr>
        <w:t>equitable access to diagnostics, care and treatment services</w:t>
      </w:r>
      <w:r>
        <w:rPr>
          <w:rFonts w:eastAsia="SimSun" w:cs="Calibri" w:cstheme="minorHAnsi"/>
          <w:color w:val="000000" w:themeColor="text1"/>
          <w:sz w:val="20"/>
          <w:szCs w:val="20"/>
        </w:rPr>
        <w:t>.</w:t>
      </w:r>
    </w:p>
    <w:p>
      <w:pPr>
        <w:pStyle w:val="Normal"/>
        <w:shd w:val="clear" w:color="auto" w:fill="FFFFFF"/>
        <w:spacing w:lineRule="atLeast" w:line="225"/>
        <w:ind w:left="360" w:hanging="0"/>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numPr>
          <w:ilvl w:val="0"/>
          <w:numId w:val="4"/>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b/>
          <w:color w:val="000000" w:themeColor="text1"/>
          <w:sz w:val="20"/>
          <w:szCs w:val="20"/>
        </w:rPr>
        <w:t xml:space="preserve">Training and guidance </w:t>
      </w:r>
    </w:p>
    <w:p>
      <w:pPr>
        <w:pStyle w:val="Normal"/>
        <w:numPr>
          <w:ilvl w:val="1"/>
          <w:numId w:val="29"/>
        </w:numPr>
        <w:shd w:val="clear" w:color="auto" w:fill="FFFFFF"/>
        <w:tabs>
          <w:tab w:val="left" w:pos="4320" w:leader="none"/>
        </w:tabs>
        <w:spacing w:lineRule="atLeast" w:line="225" w:before="0" w:after="15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Support the dissemination of nCoV guidelines, and training/refresher training of partners (see above Preparedness: 1. Enhance preparedness and country capacity: Training and guidance).</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9"/>
        </w:numPr>
        <w:ind w:left="360" w:hanging="36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Support partner coordination at the country level</w:t>
      </w:r>
    </w:p>
    <w:p>
      <w:pPr>
        <w:pStyle w:val="Normal"/>
        <w:shd w:val="clear" w:color="auto" w:fill="FFFFFF"/>
        <w:spacing w:lineRule="atLeast" w:line="225"/>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numPr>
          <w:ilvl w:val="0"/>
          <w:numId w:val="4"/>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b/>
          <w:color w:val="000000" w:themeColor="text1"/>
          <w:sz w:val="20"/>
          <w:szCs w:val="20"/>
        </w:rPr>
        <w:t>Co-lead the Risk Communication and Community Engagement</w:t>
      </w:r>
      <w:r>
        <w:rPr>
          <w:rFonts w:eastAsia="SimSun" w:cs="Calibri" w:cstheme="minorHAnsi"/>
          <w:color w:val="000000" w:themeColor="text1"/>
          <w:sz w:val="20"/>
          <w:szCs w:val="20"/>
        </w:rPr>
        <w:t xml:space="preserve"> pillar of the response in coordination with IFRC and WHO.</w:t>
      </w:r>
    </w:p>
    <w:p>
      <w:pPr>
        <w:pStyle w:val="Normal"/>
        <w:numPr>
          <w:ilvl w:val="0"/>
          <w:numId w:val="4"/>
        </w:numPr>
        <w:shd w:val="clear" w:color="auto" w:fill="FFFFFF"/>
        <w:spacing w:lineRule="atLeast" w:line="225" w:before="0" w:after="150"/>
        <w:contextualSpacing/>
        <w:jc w:val="both"/>
        <w:rPr>
          <w:rFonts w:eastAsia="SimSun" w:cs="Calibri" w:cstheme="minorHAnsi"/>
          <w:color w:val="000000" w:themeColor="text1"/>
          <w:sz w:val="32"/>
        </w:rPr>
      </w:pPr>
      <w:r>
        <w:rPr>
          <w:rFonts w:eastAsia="SimSun" w:cs="Calibri" w:cstheme="minorHAnsi"/>
          <w:b/>
          <w:color w:val="000000" w:themeColor="text1"/>
          <w:sz w:val="20"/>
          <w:szCs w:val="20"/>
        </w:rPr>
        <w:t>Participate in national and inter-agency nCoV response coordination mechanisms</w:t>
      </w:r>
      <w:r>
        <w:rPr>
          <w:rFonts w:eastAsia="SimSun" w:cs="Calibri" w:cstheme="minorHAnsi"/>
          <w:color w:val="000000" w:themeColor="text1"/>
          <w:sz w:val="20"/>
          <w:szCs w:val="20"/>
        </w:rPr>
        <w:t xml:space="preserve"> and establish UNICEF’s lead/co-leadership role(s) in pillars for RCCE, WASH/IPC, PSS, community health/primary health care, as appropriate. Support the enhancement of links across all pillars of response.  </w:t>
      </w:r>
    </w:p>
    <w:p>
      <w:pPr>
        <w:pStyle w:val="Normal"/>
        <w:numPr>
          <w:ilvl w:val="0"/>
          <w:numId w:val="4"/>
        </w:numPr>
        <w:shd w:val="clear" w:color="auto" w:fill="FFFFFF"/>
        <w:spacing w:lineRule="atLeast" w:line="225" w:before="0" w:after="150"/>
        <w:contextualSpacing/>
        <w:jc w:val="both"/>
        <w:rPr>
          <w:rFonts w:eastAsia="SimSun" w:cs="Calibri" w:cstheme="minorHAnsi"/>
          <w:color w:val="000000" w:themeColor="text1"/>
          <w:sz w:val="32"/>
        </w:rPr>
      </w:pPr>
      <w:r>
        <w:rPr>
          <w:rFonts w:eastAsia="SimSun" w:cs="Calibri" w:cstheme="minorHAnsi"/>
          <w:b/>
          <w:color w:val="000000" w:themeColor="text1"/>
          <w:sz w:val="20"/>
          <w:szCs w:val="20"/>
        </w:rPr>
        <w:t>Participate in multi-sectoral rapid needs assessments, outbreak investigation and rapid response teams</w:t>
      </w:r>
      <w:r>
        <w:rPr>
          <w:rFonts w:eastAsia="SimSun" w:cs="Calibri" w:cstheme="minorHAnsi"/>
          <w:color w:val="000000" w:themeColor="text1"/>
          <w:sz w:val="20"/>
          <w:szCs w:val="20"/>
        </w:rPr>
        <w:t xml:space="preserve"> (RRTs) with participation across all relevant pillars/sectors. </w:t>
      </w:r>
    </w:p>
    <w:p>
      <w:pPr>
        <w:pStyle w:val="Normal"/>
        <w:numPr>
          <w:ilvl w:val="0"/>
          <w:numId w:val="4"/>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b/>
          <w:color w:val="000000" w:themeColor="text1"/>
          <w:sz w:val="20"/>
          <w:szCs w:val="20"/>
        </w:rPr>
        <w:t>Implement response and contingency plans,</w:t>
      </w:r>
      <w:r>
        <w:rPr>
          <w:rFonts w:eastAsia="SimSun" w:cs="Calibri" w:cstheme="minorHAnsi"/>
          <w:color w:val="000000" w:themeColor="text1"/>
          <w:sz w:val="20"/>
          <w:szCs w:val="20"/>
        </w:rPr>
        <w:t xml:space="preserve"> taking into consideration </w:t>
      </w:r>
      <w:r>
        <w:rPr>
          <w:rFonts w:eastAsia="SimSun" w:cs="Calibri" w:cstheme="minorHAnsi"/>
          <w:b/>
          <w:color w:val="000000" w:themeColor="text1"/>
          <w:sz w:val="20"/>
          <w:szCs w:val="20"/>
        </w:rPr>
        <w:t>underserved and vulnerable populations</w:t>
      </w:r>
      <w:r>
        <w:rPr>
          <w:rFonts w:eastAsia="SimSun" w:cs="Calibri" w:cstheme="minorHAnsi"/>
          <w:color w:val="000000" w:themeColor="text1"/>
          <w:sz w:val="20"/>
          <w:szCs w:val="20"/>
        </w:rPr>
        <w:t xml:space="preserve"> (e.g. marginalized populations, hard-to-reach, refugees, IDPs, mobile populations, populations with baseline poor access to health services).</w:t>
      </w:r>
    </w:p>
    <w:p>
      <w:pPr>
        <w:pStyle w:val="Normal"/>
        <w:numPr>
          <w:ilvl w:val="0"/>
          <w:numId w:val="4"/>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b/>
          <w:color w:val="000000" w:themeColor="text1"/>
          <w:sz w:val="20"/>
          <w:szCs w:val="20"/>
        </w:rPr>
        <w:t>Strengthen UNICEF coordination mechanisms</w:t>
      </w:r>
      <w:r>
        <w:rPr>
          <w:rFonts w:eastAsia="SimSun" w:cs="Calibri" w:cstheme="minorHAnsi"/>
          <w:color w:val="000000" w:themeColor="text1"/>
          <w:sz w:val="20"/>
          <w:szCs w:val="20"/>
        </w:rPr>
        <w:t xml:space="preserve"> as appropriate (i.e. RO, HQ, cross-border) including internal communication and standard operation procedures (SOP) as indicated. </w:t>
      </w:r>
    </w:p>
    <w:p>
      <w:pPr>
        <w:pStyle w:val="Normal"/>
        <w:numPr>
          <w:ilvl w:val="0"/>
          <w:numId w:val="4"/>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b/>
          <w:bCs/>
          <w:color w:val="000000" w:themeColor="text1"/>
          <w:sz w:val="20"/>
          <w:szCs w:val="20"/>
        </w:rPr>
        <w:t>Closely monitor for any secondary impact of the nCoV outbreak</w:t>
      </w:r>
      <w:r>
        <w:rPr>
          <w:rFonts w:eastAsia="SimSun" w:cs="Calibri" w:cstheme="minorHAnsi"/>
          <w:color w:val="000000" w:themeColor="text1"/>
          <w:sz w:val="20"/>
          <w:szCs w:val="20"/>
        </w:rPr>
        <w:t xml:space="preserve">, including disruptions to health, education and other social services delivery (including due to overburdening of local health systems), changes in care seeking behavior, impact on the local economy and livelihoods, widespread panic, civil unrest, as well as new/increased protection needs.  </w:t>
      </w:r>
    </w:p>
    <w:p>
      <w:pPr>
        <w:pStyle w:val="Normal"/>
        <w:numPr>
          <w:ilvl w:val="0"/>
          <w:numId w:val="4"/>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b/>
          <w:bCs/>
          <w:color w:val="000000" w:themeColor="text1"/>
          <w:sz w:val="20"/>
          <w:szCs w:val="20"/>
        </w:rPr>
        <w:t>Participate in multi-sectoral assessments of potential broader humanitarian consequences of the nCoV outbreak</w:t>
      </w:r>
      <w:r>
        <w:rPr>
          <w:rFonts w:eastAsia="SimSun" w:cs="Calibri" w:cstheme="minorHAnsi"/>
          <w:color w:val="000000" w:themeColor="text1"/>
          <w:sz w:val="20"/>
          <w:szCs w:val="20"/>
        </w:rPr>
        <w:t>.</w:t>
      </w:r>
    </w:p>
    <w:p>
      <w:pPr>
        <w:pStyle w:val="ListParagraph"/>
        <w:numPr>
          <w:ilvl w:val="0"/>
          <w:numId w:val="4"/>
        </w:numPr>
        <w:shd w:val="clear" w:color="auto" w:fill="FFFFFF"/>
        <w:spacing w:lineRule="atLeast" w:line="225" w:before="0" w:after="150"/>
        <w:contextualSpacing/>
        <w:jc w:val="both"/>
        <w:rPr>
          <w:rFonts w:eastAsia="SimSun" w:cs="Calibri" w:cstheme="minorHAnsi"/>
          <w:b/>
          <w:b/>
          <w:color w:val="000000" w:themeColor="text1"/>
          <w:sz w:val="20"/>
          <w:szCs w:val="20"/>
        </w:rPr>
      </w:pPr>
      <w:r>
        <w:rPr>
          <w:rFonts w:eastAsia="SimSun" w:cs="Calibri" w:cstheme="minorHAnsi"/>
          <w:b/>
          <w:color w:val="000000" w:themeColor="text1"/>
          <w:sz w:val="20"/>
          <w:szCs w:val="20"/>
        </w:rPr>
        <w:t>Monitoring and evaluation</w:t>
      </w:r>
    </w:p>
    <w:p>
      <w:pPr>
        <w:pStyle w:val="Normal"/>
        <w:numPr>
          <w:ilvl w:val="1"/>
          <w:numId w:val="34"/>
        </w:numPr>
        <w:shd w:val="clear" w:color="auto" w:fill="FFFFFF"/>
        <w:spacing w:lineRule="atLeast" w:line="225" w:before="0" w:after="150"/>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Implement an integrated monitoring and evaluation plan in coordination with partners, including data collection and analysis to inform program decision-making. </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9"/>
        </w:numPr>
        <w:ind w:left="360" w:hanging="36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Limit human-to-human transmission and protect individuals from exposure to nCoV</w:t>
      </w:r>
    </w:p>
    <w:p>
      <w:pPr>
        <w:pStyle w:val="Normal"/>
        <w:shd w:val="clear" w:color="auto" w:fill="FFFFFF"/>
        <w:spacing w:lineRule="atLeast" w:line="225"/>
        <w:ind w:left="360" w:hanging="0"/>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ListParagraph"/>
        <w:numPr>
          <w:ilvl w:val="0"/>
          <w:numId w:val="20"/>
        </w:numPr>
        <w:shd w:val="clear" w:color="auto" w:fill="FFFFFF"/>
        <w:spacing w:lineRule="atLeast" w:line="225" w:before="0" w:after="150"/>
        <w:contextualSpacing/>
        <w:jc w:val="both"/>
        <w:rPr/>
      </w:pPr>
      <w:r>
        <w:rPr>
          <w:rFonts w:eastAsia="SimSun" w:cs="Calibri" w:cstheme="minorHAnsi"/>
          <w:b/>
          <w:color w:val="000000" w:themeColor="text1"/>
          <w:sz w:val="20"/>
          <w:szCs w:val="20"/>
        </w:rPr>
        <w:t>Risk communication &amp; community engagement (RCCE):</w:t>
      </w:r>
      <w:r>
        <w:rPr>
          <w:rFonts w:eastAsia="SimSun" w:cs="Calibri" w:cstheme="minorHAnsi"/>
          <w:color w:val="000000" w:themeColor="text1"/>
          <w:sz w:val="20"/>
          <w:szCs w:val="20"/>
        </w:rPr>
        <w:t xml:space="preserve"> During the outbreak, RCCE efforts should focus on mobilizing key influencers, community networks, and responders across all pillars to rapidly disseminate accurate, updated information – taking into consideration unknown information and uncertainties. (Also refer to </w:t>
      </w:r>
      <w:hyperlink r:id="rId15">
        <w:r>
          <w:rPr>
            <w:rStyle w:val="InternetLink"/>
            <w:rFonts w:eastAsia="SimSun" w:cs="Calibri" w:cstheme="minorHAnsi"/>
            <w:sz w:val="20"/>
            <w:szCs w:val="20"/>
          </w:rPr>
          <w:t>WHO nCoV technical guidance on Risk Communication and Community Engagement</w:t>
        </w:r>
      </w:hyperlink>
      <w:r>
        <w:rPr>
          <w:rFonts w:eastAsia="SimSun" w:cs="Calibri" w:cstheme="minorHAnsi"/>
          <w:color w:val="000000" w:themeColor="text1"/>
          <w:sz w:val="20"/>
          <w:szCs w:val="20"/>
        </w:rPr>
        <w:t>)</w:t>
      </w:r>
    </w:p>
    <w:p>
      <w:pPr>
        <w:pStyle w:val="ListParagraph"/>
        <w:shd w:val="clear" w:color="auto" w:fill="FFFFFF"/>
        <w:spacing w:lineRule="atLeast" w:line="225" w:before="0" w:after="150"/>
        <w:ind w:left="360" w:hanging="0"/>
        <w:contextualSpacing/>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r>
    </w:p>
    <w:p>
      <w:pPr>
        <w:pStyle w:val="ListParagraph"/>
        <w:numPr>
          <w:ilvl w:val="1"/>
          <w:numId w:val="20"/>
        </w:numPr>
        <w:shd w:val="clear" w:color="auto" w:fill="FFFFFF"/>
        <w:spacing w:lineRule="atLeast" w:line="225" w:before="0" w:after="150"/>
        <w:contextualSpacing/>
        <w:jc w:val="both"/>
        <w:rPr>
          <w:rFonts w:eastAsia="Corbel" w:cs="Calibri" w:cstheme="minorHAnsi"/>
          <w:b/>
          <w:b/>
          <w:color w:val="000000" w:themeColor="text1"/>
          <w:sz w:val="20"/>
          <w:szCs w:val="20"/>
        </w:rPr>
      </w:pPr>
      <w:r>
        <w:rPr>
          <w:rFonts w:eastAsia="Corbel" w:cs="Calibri" w:cstheme="minorHAnsi"/>
          <w:b/>
          <w:color w:val="000000" w:themeColor="text1"/>
          <w:sz w:val="20"/>
          <w:szCs w:val="20"/>
        </w:rPr>
        <w:t>Rapid implementation</w:t>
      </w:r>
    </w:p>
    <w:p>
      <w:pPr>
        <w:pStyle w:val="Normal"/>
        <w:numPr>
          <w:ilvl w:val="2"/>
          <w:numId w:val="5"/>
        </w:numPr>
        <w:spacing w:before="0" w:after="0"/>
        <w:ind w:left="1080" w:hanging="360"/>
        <w:contextualSpacing/>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Under the RCCE pillar (see above Preparedness: Risk communication &amp; community engagement), </w:t>
      </w:r>
      <w:r>
        <w:rPr>
          <w:rFonts w:eastAsia="SimSun" w:cs="Calibri" w:cstheme="minorHAnsi"/>
          <w:b/>
          <w:color w:val="000000" w:themeColor="text1"/>
          <w:sz w:val="20"/>
          <w:szCs w:val="20"/>
        </w:rPr>
        <w:t xml:space="preserve">implement the RCCE strategy and action plan for nCoV, adapted based on epidemiological and social sciences data. </w:t>
      </w:r>
    </w:p>
    <w:p>
      <w:pPr>
        <w:pStyle w:val="Normal"/>
        <w:numPr>
          <w:ilvl w:val="2"/>
          <w:numId w:val="5"/>
        </w:numPr>
        <w:shd w:val="clear" w:color="auto" w:fill="FFFFFF"/>
        <w:spacing w:lineRule="atLeast" w:line="225" w:before="0" w:after="150"/>
        <w:ind w:left="1080" w:hanging="360"/>
        <w:contextualSpacing/>
        <w:jc w:val="both"/>
        <w:rPr>
          <w:rFonts w:eastAsia="SimSun" w:cs="Calibri" w:cstheme="minorHAnsi"/>
          <w:b/>
          <w:b/>
          <w:color w:val="000000" w:themeColor="text1"/>
          <w:sz w:val="20"/>
          <w:szCs w:val="20"/>
        </w:rPr>
      </w:pPr>
      <w:r>
        <w:rPr>
          <w:rFonts w:eastAsia="Corbel" w:cs="Calibri" w:cstheme="minorHAnsi"/>
          <w:b/>
          <w:color w:val="000000" w:themeColor="text1"/>
          <w:sz w:val="20"/>
          <w:szCs w:val="20"/>
        </w:rPr>
        <w:t>Mobilize the media</w:t>
      </w:r>
      <w:r>
        <w:rPr>
          <w:rFonts w:eastAsia="Corbel" w:cs="Calibri" w:cstheme="minorHAnsi"/>
          <w:color w:val="000000" w:themeColor="text1"/>
          <w:sz w:val="20"/>
          <w:szCs w:val="20"/>
        </w:rPr>
        <w:t xml:space="preserve"> and spokesperson (together with WHO and media communication teams).</w:t>
      </w:r>
    </w:p>
    <w:p>
      <w:pPr>
        <w:pStyle w:val="Normal"/>
        <w:shd w:val="clear" w:color="auto" w:fill="FFFFFF"/>
        <w:spacing w:lineRule="atLeast" w:line="225" w:before="0" w:after="150"/>
        <w:contextualSpacing/>
        <w:jc w:val="both"/>
        <w:rPr>
          <w:rFonts w:eastAsia="SimSun" w:cs="Calibri" w:cstheme="minorHAnsi"/>
          <w:b/>
          <w:b/>
          <w:color w:val="000000" w:themeColor="text1"/>
          <w:sz w:val="20"/>
          <w:szCs w:val="20"/>
        </w:rPr>
      </w:pPr>
      <w:r>
        <w:rPr>
          <w:rFonts w:eastAsia="SimSun" w:cs="Calibri" w:cstheme="minorHAnsi"/>
          <w:b/>
          <w:color w:val="000000" w:themeColor="text1"/>
          <w:sz w:val="20"/>
          <w:szCs w:val="20"/>
        </w:rPr>
      </w:r>
    </w:p>
    <w:p>
      <w:pPr>
        <w:pStyle w:val="ListParagraph"/>
        <w:numPr>
          <w:ilvl w:val="0"/>
          <w:numId w:val="37"/>
        </w:numPr>
        <w:shd w:val="clear" w:color="auto" w:fill="FFFFFF"/>
        <w:spacing w:lineRule="atLeast" w:line="225" w:before="0" w:after="150"/>
        <w:ind w:left="720" w:hanging="360"/>
        <w:contextualSpacing/>
        <w:jc w:val="both"/>
        <w:rPr>
          <w:rFonts w:eastAsia="SimSun" w:cs="Calibri" w:cstheme="minorHAnsi"/>
          <w:b/>
          <w:b/>
          <w:color w:val="000000" w:themeColor="text1"/>
          <w:sz w:val="20"/>
          <w:szCs w:val="20"/>
        </w:rPr>
      </w:pPr>
      <w:r>
        <w:rPr>
          <w:rFonts w:eastAsia="Corbel" w:cs="Calibri" w:cstheme="minorHAnsi"/>
          <w:b/>
          <w:color w:val="000000" w:themeColor="text1"/>
          <w:sz w:val="20"/>
          <w:szCs w:val="20"/>
        </w:rPr>
        <w:t>Messaging</w:t>
      </w:r>
    </w:p>
    <w:p>
      <w:pPr>
        <w:pStyle w:val="Normal"/>
        <w:numPr>
          <w:ilvl w:val="0"/>
          <w:numId w:val="8"/>
        </w:numPr>
        <w:shd w:val="clear" w:color="auto" w:fill="FFFFFF"/>
        <w:spacing w:lineRule="atLeast" w:line="225" w:before="0" w:after="150"/>
        <w:ind w:left="1080" w:hanging="360"/>
        <w:contextualSpacing/>
        <w:jc w:val="both"/>
        <w:rPr>
          <w:rFonts w:eastAsia="SimSun" w:cs="Calibri" w:cstheme="minorHAnsi"/>
          <w:color w:val="000000" w:themeColor="text1"/>
          <w:sz w:val="20"/>
          <w:szCs w:val="20"/>
        </w:rPr>
      </w:pPr>
      <w:r>
        <w:rPr>
          <w:rFonts w:eastAsia="Corbel" w:cs="Calibri" w:cstheme="minorHAnsi"/>
          <w:color w:val="000000" w:themeColor="text1"/>
          <w:sz w:val="20"/>
          <w:szCs w:val="20"/>
        </w:rPr>
        <w:t xml:space="preserve">Identify affected and at-risk populations, and trusted channels of communication </w:t>
      </w:r>
      <w:r>
        <w:rPr>
          <w:rFonts w:eastAsia="SimSun" w:cs="Calibri" w:cstheme="minorHAnsi"/>
          <w:color w:val="000000" w:themeColor="text1"/>
          <w:sz w:val="20"/>
          <w:szCs w:val="20"/>
        </w:rPr>
        <w:t xml:space="preserve">(local media, radio, social media, hotlines) </w:t>
      </w:r>
      <w:r>
        <w:rPr>
          <w:rFonts w:eastAsia="Corbel" w:cs="Calibri" w:cstheme="minorHAnsi"/>
          <w:color w:val="000000" w:themeColor="text1"/>
          <w:sz w:val="20"/>
          <w:szCs w:val="20"/>
        </w:rPr>
        <w:t>to reach these populations, including specifically underserved and vulnerable populations.</w:t>
      </w:r>
    </w:p>
    <w:p>
      <w:pPr>
        <w:pStyle w:val="Normal"/>
        <w:numPr>
          <w:ilvl w:val="0"/>
          <w:numId w:val="8"/>
        </w:numPr>
        <w:shd w:val="clear" w:color="auto" w:fill="FFFFFF"/>
        <w:spacing w:lineRule="atLeast" w:line="225" w:before="0" w:after="150"/>
        <w:ind w:left="1080" w:hanging="360"/>
        <w:contextualSpacing/>
        <w:jc w:val="both"/>
        <w:rPr>
          <w:rFonts w:eastAsia="SimSun" w:cs="Calibri" w:cstheme="minorHAnsi"/>
          <w:color w:val="000000" w:themeColor="text1"/>
          <w:sz w:val="20"/>
          <w:szCs w:val="20"/>
        </w:rPr>
      </w:pPr>
      <w:r>
        <w:rPr>
          <w:rFonts w:eastAsia="Corbel" w:cs="Calibri" w:cstheme="minorHAnsi"/>
          <w:b/>
          <w:color w:val="000000" w:themeColor="text1"/>
          <w:sz w:val="20"/>
          <w:szCs w:val="20"/>
        </w:rPr>
        <w:t>Disseminate pre-tested key messages and communication materials</w:t>
      </w:r>
      <w:r>
        <w:rPr>
          <w:rFonts w:eastAsia="Corbel" w:cs="Calibri" w:cstheme="minorHAnsi"/>
          <w:color w:val="000000" w:themeColor="text1"/>
          <w:sz w:val="20"/>
          <w:szCs w:val="20"/>
        </w:rPr>
        <w:t xml:space="preserve"> (</w:t>
      </w:r>
      <w:r>
        <w:rPr>
          <w:rFonts w:eastAsia="Corbel" w:cs="Calibri" w:cstheme="minorHAnsi"/>
          <w:color w:val="000000" w:themeColor="text1"/>
          <w:sz w:val="20"/>
          <w:szCs w:val="20"/>
          <w:u w:val="single"/>
        </w:rPr>
        <w:t xml:space="preserve">see above Preparedness: </w:t>
      </w:r>
      <w:r>
        <w:rPr>
          <w:rFonts w:eastAsia="SimSun" w:cs="Calibri" w:cstheme="minorHAnsi"/>
          <w:color w:val="000000" w:themeColor="text1"/>
          <w:sz w:val="20"/>
          <w:szCs w:val="20"/>
          <w:u w:val="single"/>
        </w:rPr>
        <w:t>Risk communication &amp; community engagement</w:t>
      </w:r>
      <w:r>
        <w:rPr>
          <w:rFonts w:eastAsia="SimSun" w:cs="Calibri" w:cstheme="minorHAnsi"/>
          <w:color w:val="000000" w:themeColor="text1"/>
          <w:sz w:val="20"/>
          <w:szCs w:val="20"/>
        </w:rPr>
        <w:t>)</w:t>
      </w:r>
      <w:r>
        <w:rPr>
          <w:rFonts w:eastAsia="Corbel" w:cs="Calibri" w:cstheme="minorHAnsi"/>
          <w:color w:val="000000" w:themeColor="text1"/>
          <w:sz w:val="20"/>
          <w:szCs w:val="20"/>
        </w:rPr>
        <w:t xml:space="preserve"> via </w:t>
      </w:r>
      <w:r>
        <w:rPr>
          <w:rFonts w:eastAsia="Corbel" w:cs="Calibri" w:cstheme="minorHAnsi"/>
          <w:b/>
          <w:color w:val="000000" w:themeColor="text1"/>
          <w:sz w:val="20"/>
          <w:szCs w:val="20"/>
        </w:rPr>
        <w:t>identified key influencers, networks and trusted channels</w:t>
      </w:r>
      <w:r>
        <w:rPr>
          <w:rFonts w:eastAsia="Corbel" w:cs="Calibri" w:cstheme="minorHAnsi"/>
          <w:color w:val="000000" w:themeColor="text1"/>
          <w:sz w:val="20"/>
          <w:szCs w:val="20"/>
        </w:rPr>
        <w:t>.</w:t>
      </w:r>
    </w:p>
    <w:p>
      <w:pPr>
        <w:pStyle w:val="Normal"/>
        <w:numPr>
          <w:ilvl w:val="0"/>
          <w:numId w:val="1"/>
        </w:numPr>
        <w:shd w:val="clear" w:color="auto" w:fill="FFFFFF"/>
        <w:tabs>
          <w:tab w:val="left" w:pos="1080" w:leader="none"/>
        </w:tabs>
        <w:spacing w:lineRule="atLeast" w:line="225" w:before="0" w:after="150"/>
        <w:ind w:left="1080" w:hanging="360"/>
        <w:jc w:val="both"/>
        <w:rPr>
          <w:rFonts w:eastAsia="SimSun" w:cs="Calibri" w:cstheme="minorHAnsi"/>
          <w:b/>
          <w:b/>
          <w:color w:val="000000" w:themeColor="text1"/>
          <w:sz w:val="20"/>
          <w:szCs w:val="20"/>
        </w:rPr>
      </w:pPr>
      <w:r>
        <w:rPr>
          <w:rFonts w:eastAsia="Corbel" w:cs="Calibri" w:cstheme="minorHAnsi"/>
          <w:b/>
          <w:color w:val="000000" w:themeColor="text1"/>
          <w:sz w:val="20"/>
          <w:szCs w:val="20"/>
        </w:rPr>
        <w:t>Track rumors</w:t>
      </w:r>
      <w:r>
        <w:rPr>
          <w:rFonts w:eastAsia="Corbel" w:cs="Calibri" w:cstheme="minorHAnsi"/>
          <w:color w:val="000000" w:themeColor="text1"/>
          <w:sz w:val="20"/>
          <w:szCs w:val="20"/>
        </w:rPr>
        <w:t xml:space="preserve"> to counter any misinformation circulating in communities. Work with Psychosocial support and Child protection on </w:t>
      </w:r>
      <w:r>
        <w:rPr>
          <w:rFonts w:eastAsia="SimSun" w:cs="Calibri" w:cstheme="minorHAnsi"/>
          <w:color w:val="000000" w:themeColor="text1"/>
          <w:sz w:val="20"/>
          <w:szCs w:val="20"/>
        </w:rPr>
        <w:t xml:space="preserve">engaging communities to assess and </w:t>
      </w:r>
      <w:r>
        <w:rPr>
          <w:rFonts w:eastAsia="SimSun" w:cs="Calibri" w:cstheme="minorHAnsi"/>
          <w:b/>
          <w:color w:val="000000" w:themeColor="text1"/>
          <w:sz w:val="20"/>
          <w:szCs w:val="20"/>
        </w:rPr>
        <w:t>address any potential stigmatization</w:t>
      </w:r>
      <w:r>
        <w:rPr>
          <w:rFonts w:eastAsia="SimSun" w:cs="Calibri" w:cstheme="minorHAnsi"/>
          <w:color w:val="000000" w:themeColor="text1"/>
          <w:sz w:val="20"/>
          <w:szCs w:val="20"/>
        </w:rPr>
        <w:t xml:space="preserve"> of populations related to nCoV.</w:t>
      </w:r>
    </w:p>
    <w:p>
      <w:pPr>
        <w:pStyle w:val="ListParagraph"/>
        <w:numPr>
          <w:ilvl w:val="0"/>
          <w:numId w:val="37"/>
        </w:numPr>
        <w:shd w:val="clear" w:color="auto" w:fill="FFFFFF"/>
        <w:spacing w:lineRule="atLeast" w:line="225" w:before="0" w:after="150"/>
        <w:ind w:left="720" w:hanging="360"/>
        <w:contextualSpacing/>
        <w:jc w:val="both"/>
        <w:rPr>
          <w:rFonts w:eastAsia="SimSun" w:cs="Calibri" w:cstheme="minorHAnsi"/>
          <w:b/>
          <w:b/>
          <w:color w:val="000000" w:themeColor="text1"/>
          <w:sz w:val="20"/>
          <w:szCs w:val="20"/>
        </w:rPr>
      </w:pPr>
      <w:r>
        <w:rPr>
          <w:rFonts w:eastAsia="Corbel" w:cs="Calibri" w:cstheme="minorHAnsi"/>
          <w:b/>
          <w:color w:val="000000" w:themeColor="text1"/>
          <w:sz w:val="20"/>
          <w:szCs w:val="20"/>
        </w:rPr>
        <w:t>Community engagement</w:t>
      </w:r>
    </w:p>
    <w:p>
      <w:pPr>
        <w:pStyle w:val="Normal"/>
        <w:numPr>
          <w:ilvl w:val="2"/>
          <w:numId w:val="6"/>
        </w:numPr>
        <w:shd w:val="clear" w:color="auto" w:fill="FFFFFF"/>
        <w:spacing w:lineRule="atLeast" w:line="225" w:before="0" w:after="150"/>
        <w:ind w:left="1080" w:hanging="360"/>
        <w:contextualSpacing/>
        <w:jc w:val="both"/>
        <w:rPr>
          <w:rFonts w:eastAsia="SimSun" w:cs="Calibri" w:cstheme="minorHAnsi"/>
          <w:b/>
          <w:b/>
          <w:color w:val="000000" w:themeColor="text1"/>
          <w:sz w:val="20"/>
          <w:szCs w:val="20"/>
        </w:rPr>
      </w:pPr>
      <w:r>
        <w:rPr>
          <w:rFonts w:eastAsia="SimSun" w:cs="Calibri" w:cstheme="minorHAnsi"/>
          <w:b/>
          <w:color w:val="000000" w:themeColor="text1"/>
          <w:sz w:val="20"/>
          <w:szCs w:val="20"/>
        </w:rPr>
        <w:t>Engage affected and at-risk communities</w:t>
      </w:r>
      <w:r>
        <w:rPr>
          <w:rFonts w:eastAsia="SimSun" w:cs="Calibri" w:cstheme="minorHAnsi"/>
          <w:color w:val="000000" w:themeColor="text1"/>
          <w:sz w:val="20"/>
          <w:szCs w:val="20"/>
        </w:rPr>
        <w:t xml:space="preserve">, maintaining two-way communication between communities, their trusted sources, and responders to keep the public informed, and </w:t>
      </w:r>
      <w:r>
        <w:rPr>
          <w:rFonts w:eastAsia="SimSun" w:cs="Calibri" w:cstheme="minorHAnsi"/>
          <w:b/>
          <w:color w:val="000000" w:themeColor="text1"/>
          <w:sz w:val="20"/>
          <w:szCs w:val="20"/>
        </w:rPr>
        <w:t>monitor community feedback</w:t>
      </w:r>
      <w:r>
        <w:rPr>
          <w:rFonts w:eastAsia="SimSun" w:cs="Calibri" w:cstheme="minorHAnsi"/>
          <w:color w:val="000000" w:themeColor="text1"/>
          <w:sz w:val="20"/>
          <w:szCs w:val="20"/>
        </w:rPr>
        <w:t xml:space="preserve"> on their priority needs. </w:t>
      </w:r>
    </w:p>
    <w:p>
      <w:pPr>
        <w:pStyle w:val="ListParagraph"/>
        <w:numPr>
          <w:ilvl w:val="0"/>
          <w:numId w:val="12"/>
        </w:numPr>
        <w:shd w:val="clear" w:color="auto" w:fill="FFFFFF"/>
        <w:spacing w:lineRule="atLeast" w:line="225" w:before="0" w:after="150"/>
        <w:ind w:left="360" w:hanging="360"/>
        <w:contextualSpacing/>
        <w:jc w:val="both"/>
        <w:rPr>
          <w:rFonts w:eastAsia="SimSun" w:cs="Calibri" w:cstheme="minorHAnsi"/>
          <w:b/>
          <w:b/>
          <w:color w:val="000000" w:themeColor="text1"/>
          <w:sz w:val="20"/>
          <w:szCs w:val="20"/>
        </w:rPr>
      </w:pPr>
      <w:r>
        <w:rPr>
          <w:rFonts w:eastAsia="SimSun" w:cs="Calibri" w:cstheme="minorHAnsi"/>
          <w:b/>
          <w:color w:val="000000" w:themeColor="text1"/>
          <w:sz w:val="20"/>
          <w:szCs w:val="20"/>
        </w:rPr>
        <w:t>Social sciences research</w:t>
      </w:r>
    </w:p>
    <w:p>
      <w:pPr>
        <w:pStyle w:val="Normal"/>
        <w:numPr>
          <w:ilvl w:val="2"/>
          <w:numId w:val="7"/>
        </w:numPr>
        <w:shd w:val="clear" w:color="auto" w:fill="FFFFFF"/>
        <w:spacing w:lineRule="atLeast" w:line="225" w:before="0" w:after="150"/>
        <w:ind w:left="1080" w:hanging="36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Continue </w:t>
      </w:r>
      <w:r>
        <w:rPr>
          <w:rFonts w:eastAsia="SimSun" w:cs="Calibri" w:cstheme="minorHAnsi"/>
          <w:b/>
          <w:color w:val="000000" w:themeColor="text1"/>
          <w:sz w:val="20"/>
          <w:szCs w:val="20"/>
        </w:rPr>
        <w:t>collection and analysis of social sciences data</w:t>
      </w:r>
      <w:r>
        <w:rPr>
          <w:rFonts w:eastAsia="SimSun" w:cs="Calibri" w:cstheme="minorHAnsi"/>
          <w:color w:val="000000" w:themeColor="text1"/>
          <w:sz w:val="20"/>
          <w:szCs w:val="20"/>
        </w:rPr>
        <w:t xml:space="preserve"> (including KAP studies, qualitative and mixed methodology studies) related to nCoV, including on </w:t>
      </w:r>
      <w:r>
        <w:rPr>
          <w:rFonts w:eastAsia="SimSun" w:cs="Calibri" w:cstheme="minorHAnsi"/>
          <w:b/>
          <w:bCs/>
          <w:color w:val="000000" w:themeColor="text1"/>
          <w:sz w:val="20"/>
          <w:szCs w:val="20"/>
        </w:rPr>
        <w:t>local care seeking patterns</w:t>
      </w:r>
      <w:r>
        <w:rPr>
          <w:rFonts w:eastAsia="SimSun" w:cs="Calibri" w:cstheme="minorHAnsi"/>
          <w:color w:val="000000" w:themeColor="text1"/>
          <w:sz w:val="20"/>
          <w:szCs w:val="20"/>
        </w:rPr>
        <w:t xml:space="preserve">. </w:t>
      </w:r>
      <w:r>
        <w:rPr>
          <w:rFonts w:eastAsia="SimSun" w:cs="Calibri" w:cstheme="minorHAnsi"/>
          <w:b/>
          <w:bCs/>
          <w:color w:val="000000" w:themeColor="text1"/>
          <w:sz w:val="20"/>
          <w:szCs w:val="20"/>
        </w:rPr>
        <w:t>Target specific at-risk / vulnerable populations</w:t>
      </w:r>
      <w:r>
        <w:rPr>
          <w:rFonts w:eastAsia="SimSun" w:cs="Calibri" w:cstheme="minorHAnsi"/>
          <w:color w:val="000000" w:themeColor="text1"/>
          <w:sz w:val="20"/>
          <w:szCs w:val="20"/>
        </w:rPr>
        <w:t xml:space="preserve"> as appropriate (e.g. market workers, health care providers in public, private, traditional practices, pharmacies, community health workers, etc.) </w:t>
      </w:r>
    </w:p>
    <w:p>
      <w:pPr>
        <w:pStyle w:val="Normal"/>
        <w:numPr>
          <w:ilvl w:val="2"/>
          <w:numId w:val="7"/>
        </w:numPr>
        <w:shd w:val="clear" w:color="auto" w:fill="FFFFFF"/>
        <w:spacing w:lineRule="atLeast" w:line="225" w:before="0" w:after="150"/>
        <w:ind w:left="1080" w:hanging="36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Within the national coordination structure, establish a mechanism </w:t>
      </w:r>
      <w:r>
        <w:rPr>
          <w:rFonts w:eastAsia="SimSun" w:cs="Calibri" w:cstheme="minorHAnsi"/>
          <w:b/>
          <w:color w:val="000000" w:themeColor="text1"/>
          <w:sz w:val="20"/>
          <w:szCs w:val="20"/>
        </w:rPr>
        <w:t xml:space="preserve">to share relevant findings and key recommendations to inform response across all pillars </w:t>
      </w:r>
      <w:r>
        <w:rPr>
          <w:rFonts w:eastAsia="SimSun" w:cs="Calibri" w:cstheme="minorHAnsi"/>
          <w:bCs/>
          <w:color w:val="000000" w:themeColor="text1"/>
          <w:sz w:val="20"/>
          <w:szCs w:val="20"/>
        </w:rPr>
        <w:t>(</w:t>
      </w:r>
      <w:r>
        <w:rPr>
          <w:rFonts w:eastAsia="SimSun" w:cs="Calibri" w:cstheme="minorHAnsi"/>
          <w:bCs/>
          <w:color w:val="000000" w:themeColor="text1"/>
          <w:sz w:val="20"/>
          <w:szCs w:val="20"/>
          <w:u w:val="single"/>
        </w:rPr>
        <w:t xml:space="preserve">see above Preparedness: </w:t>
      </w:r>
      <w:r>
        <w:rPr>
          <w:rFonts w:eastAsia="SimSun" w:cs="Calibri" w:cstheme="minorHAnsi"/>
          <w:color w:val="000000" w:themeColor="text1"/>
          <w:sz w:val="20"/>
          <w:szCs w:val="20"/>
          <w:u w:val="single"/>
        </w:rPr>
        <w:t>Risk communication &amp; community engagement)</w:t>
      </w:r>
      <w:r>
        <w:rPr>
          <w:rFonts w:eastAsia="SimSun" w:cs="Calibri" w:cstheme="minorHAnsi"/>
          <w:color w:val="000000" w:themeColor="text1"/>
          <w:sz w:val="20"/>
          <w:szCs w:val="20"/>
        </w:rPr>
        <w:t xml:space="preserve">. </w:t>
      </w:r>
    </w:p>
    <w:p>
      <w:pPr>
        <w:pStyle w:val="Normal"/>
        <w:numPr>
          <w:ilvl w:val="2"/>
          <w:numId w:val="7"/>
        </w:numPr>
        <w:shd w:val="clear" w:color="auto" w:fill="FFFFFF"/>
        <w:spacing w:lineRule="atLeast" w:line="225" w:before="0" w:after="150"/>
        <w:ind w:left="1080" w:hanging="36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Implement a system to </w:t>
      </w:r>
      <w:r>
        <w:rPr>
          <w:rFonts w:eastAsia="SimSun" w:cs="Calibri" w:cstheme="minorHAnsi"/>
          <w:b/>
          <w:color w:val="000000" w:themeColor="text1"/>
          <w:sz w:val="20"/>
          <w:szCs w:val="20"/>
        </w:rPr>
        <w:t>monitor behavioral change</w:t>
      </w:r>
      <w:r>
        <w:rPr>
          <w:rFonts w:eastAsia="SimSun" w:cs="Calibri" w:cstheme="minorHAnsi"/>
          <w:color w:val="000000" w:themeColor="text1"/>
          <w:sz w:val="20"/>
          <w:szCs w:val="20"/>
        </w:rPr>
        <w:t xml:space="preserve"> related to the outbreak.</w:t>
      </w:r>
    </w:p>
    <w:p>
      <w:pPr>
        <w:pStyle w:val="Normal"/>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r>
    </w:p>
    <w:p>
      <w:pPr>
        <w:pStyle w:val="ListParagraph"/>
        <w:numPr>
          <w:ilvl w:val="0"/>
          <w:numId w:val="12"/>
        </w:numPr>
        <w:ind w:left="360" w:hanging="360"/>
        <w:jc w:val="both"/>
        <w:rPr>
          <w:rFonts w:eastAsia="SimSun" w:cs="Calibri" w:cstheme="minorHAnsi"/>
          <w:b/>
          <w:b/>
          <w:color w:val="000000" w:themeColor="text1"/>
          <w:sz w:val="20"/>
          <w:szCs w:val="20"/>
        </w:rPr>
      </w:pPr>
      <w:r>
        <w:rPr>
          <w:rFonts w:eastAsia="SimSun" w:cs="Calibri" w:cstheme="minorHAnsi"/>
          <w:b/>
          <w:color w:val="000000" w:themeColor="text1"/>
          <w:sz w:val="20"/>
          <w:szCs w:val="20"/>
        </w:rPr>
        <w:t>Infection Prevention and Control (IPC)</w:t>
      </w:r>
    </w:p>
    <w:p>
      <w:pPr>
        <w:pStyle w:val="ListParagraph"/>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r>
    </w:p>
    <w:p>
      <w:pPr>
        <w:pStyle w:val="Normal"/>
        <w:numPr>
          <w:ilvl w:val="0"/>
          <w:numId w:val="38"/>
        </w:numPr>
        <w:shd w:val="clear" w:color="auto" w:fill="FFFFFF"/>
        <w:spacing w:lineRule="atLeast" w:line="225" w:before="0" w:after="150"/>
        <w:ind w:left="1080" w:hanging="360"/>
        <w:jc w:val="both"/>
        <w:rPr>
          <w:rFonts w:eastAsia="SimSun" w:cs="Calibri" w:cstheme="minorHAnsi"/>
          <w:bCs/>
          <w:color w:val="000000" w:themeColor="text1"/>
          <w:sz w:val="20"/>
          <w:szCs w:val="20"/>
        </w:rPr>
      </w:pPr>
      <w:r>
        <w:rPr>
          <w:rFonts w:cs="Calibri" w:cstheme="minorHAnsi"/>
          <w:b/>
          <w:bCs/>
          <w:sz w:val="20"/>
          <w:szCs w:val="20"/>
        </w:rPr>
        <w:t>Implementation of appropriate IPC measures is critical to prevent amplification of nCoV infection through nosocomial (health care-associated) transmission.</w:t>
      </w:r>
    </w:p>
    <w:p>
      <w:pPr>
        <w:pStyle w:val="Normal"/>
        <w:numPr>
          <w:ilvl w:val="0"/>
          <w:numId w:val="38"/>
        </w:numPr>
        <w:shd w:val="clear" w:color="auto" w:fill="FFFFFF"/>
        <w:spacing w:lineRule="atLeast" w:line="225" w:before="0" w:after="150"/>
        <w:ind w:left="1080" w:hanging="360"/>
        <w:jc w:val="both"/>
        <w:rPr>
          <w:rFonts w:eastAsia="SimSun" w:cs="Calibri" w:cstheme="minorHAnsi"/>
          <w:bCs/>
          <w:color w:val="000000" w:themeColor="text1"/>
          <w:sz w:val="20"/>
          <w:szCs w:val="20"/>
        </w:rPr>
      </w:pPr>
      <w:r>
        <w:rPr>
          <w:rFonts w:eastAsia="SimSun" w:cs="Calibri" w:cstheme="minorHAnsi"/>
          <w:bCs/>
          <w:color w:val="000000" w:themeColor="text1"/>
          <w:sz w:val="20"/>
          <w:szCs w:val="20"/>
        </w:rPr>
        <w:t xml:space="preserve">Support implementation and monitoring of appropriate </w:t>
      </w:r>
      <w:r>
        <w:rPr>
          <w:rFonts w:eastAsia="SimSun" w:cs="Calibri" w:cstheme="minorHAnsi"/>
          <w:b/>
          <w:bCs/>
          <w:color w:val="000000" w:themeColor="text1"/>
          <w:sz w:val="20"/>
          <w:szCs w:val="20"/>
        </w:rPr>
        <w:t>IPC measures in health facilities, schools, and in the community</w:t>
      </w:r>
      <w:r>
        <w:rPr>
          <w:rFonts w:eastAsia="SimSun" w:cs="Calibri" w:cstheme="minorHAnsi"/>
          <w:bCs/>
          <w:color w:val="000000" w:themeColor="text1"/>
          <w:sz w:val="20"/>
          <w:szCs w:val="20"/>
        </w:rPr>
        <w:t xml:space="preserve"> (e.g. markets, churches, transportation hubs, screening points/points of entry, etc.) through UNICEF’s health, WASH, RCCE and education programs, as appropriate. This may include </w:t>
      </w:r>
      <w:r>
        <w:rPr>
          <w:rFonts w:eastAsia="SimSun" w:cs="Calibri" w:cstheme="minorHAnsi"/>
          <w:b/>
          <w:bCs/>
          <w:color w:val="000000" w:themeColor="text1"/>
          <w:sz w:val="20"/>
          <w:szCs w:val="20"/>
        </w:rPr>
        <w:t>provision of IPC/WASH supplies (including PPE), support for IPC training and monitoring IPC compliance</w:t>
      </w:r>
      <w:r>
        <w:rPr>
          <w:rFonts w:eastAsia="SimSun" w:cs="Calibri" w:cstheme="minorHAnsi"/>
          <w:bCs/>
          <w:color w:val="000000" w:themeColor="text1"/>
          <w:sz w:val="20"/>
          <w:szCs w:val="20"/>
        </w:rPr>
        <w:t xml:space="preserve">. </w:t>
      </w:r>
    </w:p>
    <w:p>
      <w:pPr>
        <w:pStyle w:val="Normal"/>
        <w:numPr>
          <w:ilvl w:val="0"/>
          <w:numId w:val="38"/>
        </w:numPr>
        <w:shd w:val="clear" w:color="auto" w:fill="FFFFFF"/>
        <w:spacing w:lineRule="atLeast" w:line="225" w:before="0" w:after="150"/>
        <w:ind w:left="1080" w:hanging="360"/>
        <w:jc w:val="both"/>
        <w:rPr/>
      </w:pPr>
      <w:r>
        <w:rPr>
          <w:rFonts w:eastAsia="SimSun" w:cs="Calibri" w:cstheme="minorHAnsi"/>
          <w:bCs/>
          <w:color w:val="000000" w:themeColor="text1"/>
          <w:sz w:val="20"/>
          <w:szCs w:val="20"/>
        </w:rPr>
        <w:t xml:space="preserve">IPC principles in health facilities include </w:t>
      </w:r>
      <w:r>
        <w:rPr>
          <w:rFonts w:eastAsia="SimSun" w:cs="Calibri" w:cstheme="minorHAnsi"/>
          <w:b/>
          <w:bCs/>
          <w:color w:val="000000" w:themeColor="text1"/>
          <w:sz w:val="20"/>
          <w:szCs w:val="20"/>
        </w:rPr>
        <w:t>early recognition and source control</w:t>
      </w:r>
      <w:r>
        <w:rPr>
          <w:rFonts w:eastAsia="SimSun" w:cs="Calibri" w:cstheme="minorHAnsi"/>
          <w:bCs/>
          <w:color w:val="000000" w:themeColor="text1"/>
          <w:sz w:val="20"/>
          <w:szCs w:val="20"/>
        </w:rPr>
        <w:t xml:space="preserve"> (triage, dedicated waiting area for symptomatic patients, etc.); application of </w:t>
      </w:r>
      <w:r>
        <w:rPr>
          <w:rFonts w:eastAsia="SimSun" w:cs="Calibri" w:cstheme="minorHAnsi"/>
          <w:b/>
          <w:bCs/>
          <w:color w:val="000000" w:themeColor="text1"/>
          <w:sz w:val="20"/>
          <w:szCs w:val="20"/>
        </w:rPr>
        <w:t>standard precautions for all patients</w:t>
      </w:r>
      <w:r>
        <w:rPr>
          <w:rFonts w:eastAsia="SimSun" w:cs="Calibri" w:cstheme="minorHAnsi"/>
          <w:bCs/>
          <w:color w:val="000000" w:themeColor="text1"/>
          <w:sz w:val="20"/>
          <w:szCs w:val="20"/>
        </w:rPr>
        <w:t xml:space="preserve">; application of </w:t>
      </w:r>
      <w:r>
        <w:rPr>
          <w:rFonts w:eastAsia="SimSun" w:cs="Calibri" w:cstheme="minorHAnsi"/>
          <w:b/>
          <w:bCs/>
          <w:color w:val="000000" w:themeColor="text1"/>
          <w:sz w:val="20"/>
          <w:szCs w:val="20"/>
        </w:rPr>
        <w:t>droplet and contact precautions</w:t>
      </w:r>
      <w:r>
        <w:rPr>
          <w:rFonts w:eastAsia="SimSun" w:cs="Calibri" w:cstheme="minorHAnsi"/>
          <w:color w:val="000000" w:themeColor="text1"/>
          <w:sz w:val="20"/>
          <w:szCs w:val="20"/>
        </w:rPr>
        <w:t xml:space="preserve"> </w:t>
      </w:r>
      <w:r>
        <w:rPr>
          <w:rFonts w:eastAsia="SimSun" w:cs="Calibri" w:cstheme="minorHAnsi"/>
          <w:b/>
          <w:bCs/>
          <w:color w:val="000000" w:themeColor="text1"/>
          <w:sz w:val="20"/>
          <w:szCs w:val="20"/>
        </w:rPr>
        <w:t>for suspected nCoV infection</w:t>
      </w:r>
      <w:r>
        <w:rPr>
          <w:rFonts w:eastAsia="SimSun" w:cs="Calibri" w:cstheme="minorHAnsi"/>
          <w:color w:val="000000" w:themeColor="text1"/>
          <w:sz w:val="20"/>
          <w:szCs w:val="20"/>
        </w:rPr>
        <w:t xml:space="preserve"> by all family members, visitors, health care workers, ancillary staff (appropriate use of PPE such as medical mask, gloves, eye/facial protection, disinfection of patient-contact surfaces, etc.)</w:t>
      </w:r>
      <w:r>
        <w:rPr>
          <w:rFonts w:eastAsia="SimSun" w:cs="Calibri" w:cstheme="minorHAnsi"/>
          <w:bCs/>
          <w:color w:val="000000" w:themeColor="text1"/>
          <w:sz w:val="20"/>
          <w:szCs w:val="20"/>
        </w:rPr>
        <w:t xml:space="preserve">, and whenever applicable </w:t>
      </w:r>
      <w:r>
        <w:rPr>
          <w:rFonts w:eastAsia="SimSun" w:cs="Calibri" w:cstheme="minorHAnsi"/>
          <w:color w:val="000000" w:themeColor="text1"/>
          <w:sz w:val="20"/>
          <w:szCs w:val="20"/>
        </w:rPr>
        <w:t>airborne precautions for suspected cases</w:t>
      </w:r>
      <w:r>
        <w:rPr>
          <w:rFonts w:eastAsia="SimSun" w:cs="Calibri" w:cstheme="minorHAnsi"/>
          <w:b/>
          <w:bCs/>
          <w:color w:val="000000" w:themeColor="text1"/>
          <w:sz w:val="20"/>
          <w:szCs w:val="20"/>
        </w:rPr>
        <w:t xml:space="preserve"> </w:t>
      </w:r>
      <w:r>
        <w:rPr>
          <w:rFonts w:eastAsia="SimSun" w:cs="Calibri" w:cstheme="minorHAnsi"/>
          <w:color w:val="000000" w:themeColor="text1"/>
          <w:sz w:val="20"/>
          <w:szCs w:val="20"/>
        </w:rPr>
        <w:t>(during specific aerosol-generating procedures such as intubation, cardiopulmonary resuscitation, etc.)</w:t>
      </w:r>
      <w:r>
        <w:rPr>
          <w:rFonts w:eastAsia="SimSun" w:cs="Calibri" w:cstheme="minorHAnsi"/>
          <w:bCs/>
          <w:color w:val="000000" w:themeColor="text1"/>
          <w:sz w:val="20"/>
          <w:szCs w:val="20"/>
        </w:rPr>
        <w:t xml:space="preserve">; </w:t>
      </w:r>
      <w:r>
        <w:rPr>
          <w:rFonts w:eastAsia="SimSun" w:cs="Calibri" w:cstheme="minorHAnsi"/>
          <w:b/>
          <w:bCs/>
          <w:color w:val="000000" w:themeColor="text1"/>
          <w:sz w:val="20"/>
          <w:szCs w:val="20"/>
        </w:rPr>
        <w:t>administrative controls</w:t>
      </w:r>
      <w:r>
        <w:rPr>
          <w:rFonts w:eastAsia="SimSun" w:cs="Calibri" w:cstheme="minorHAnsi"/>
          <w:bCs/>
          <w:color w:val="000000" w:themeColor="text1"/>
          <w:sz w:val="20"/>
          <w:szCs w:val="20"/>
        </w:rPr>
        <w:t xml:space="preserve"> (e.g. isolation/cohorting of suspected cases, IPC training, monitoring IPC compliance), and </w:t>
      </w:r>
      <w:r>
        <w:rPr>
          <w:rFonts w:eastAsia="SimSun" w:cs="Calibri" w:cstheme="minorHAnsi"/>
          <w:b/>
          <w:bCs/>
          <w:color w:val="000000" w:themeColor="text1"/>
          <w:sz w:val="20"/>
          <w:szCs w:val="20"/>
        </w:rPr>
        <w:t>environmental controls</w:t>
      </w:r>
      <w:r>
        <w:rPr>
          <w:rFonts w:eastAsia="SimSun" w:cs="Calibri" w:cstheme="minorHAnsi"/>
          <w:bCs/>
          <w:color w:val="000000" w:themeColor="text1"/>
          <w:sz w:val="20"/>
          <w:szCs w:val="20"/>
        </w:rPr>
        <w:t xml:space="preserve"> (e.g. disinfection of surfaces, safe management of laundry, utensils, medical waste, ≥1m special separation of patient beds, adequate ventilation). For details, refer to </w:t>
      </w:r>
      <w:hyperlink r:id="rId16">
        <w:r>
          <w:rPr>
            <w:rStyle w:val="InternetLink"/>
            <w:rFonts w:eastAsia="SimSun" w:cs="Calibri" w:cstheme="minorHAnsi"/>
            <w:bCs/>
            <w:sz w:val="20"/>
            <w:szCs w:val="20"/>
          </w:rPr>
          <w:t>WHO nCoV technical guidance on Infection Prevention and Control in Health Care Facilities</w:t>
        </w:r>
      </w:hyperlink>
      <w:r>
        <w:rPr>
          <w:rFonts w:eastAsia="SimSun" w:cs="Calibri" w:cstheme="minorHAnsi"/>
          <w:bCs/>
          <w:color w:val="000000" w:themeColor="text1"/>
          <w:sz w:val="20"/>
          <w:szCs w:val="20"/>
        </w:rPr>
        <w:t xml:space="preserve">. </w:t>
      </w:r>
    </w:p>
    <w:p>
      <w:pPr>
        <w:pStyle w:val="ListParagraph"/>
        <w:numPr>
          <w:ilvl w:val="0"/>
          <w:numId w:val="2"/>
        </w:numPr>
        <w:shd w:val="clear" w:color="auto" w:fill="FFFFFF"/>
        <w:spacing w:lineRule="atLeast" w:line="225" w:before="0" w:after="150"/>
        <w:ind w:left="360" w:hanging="360"/>
        <w:contextualSpacing/>
        <w:jc w:val="both"/>
        <w:rPr>
          <w:rFonts w:eastAsia="SimSun" w:cs="Calibri" w:cstheme="minorHAnsi"/>
          <w:b/>
          <w:b/>
          <w:bCs/>
          <w:color w:val="000000" w:themeColor="text1"/>
          <w:sz w:val="20"/>
          <w:szCs w:val="20"/>
        </w:rPr>
      </w:pPr>
      <w:r>
        <w:rPr>
          <w:rFonts w:eastAsia="SimSun" w:cs="Calibri" w:cstheme="minorHAnsi"/>
          <w:b/>
          <w:bCs/>
          <w:color w:val="000000" w:themeColor="text1"/>
          <w:sz w:val="20"/>
          <w:szCs w:val="20"/>
        </w:rPr>
        <w:t>Education</w:t>
      </w:r>
    </w:p>
    <w:p>
      <w:pPr>
        <w:pStyle w:val="ListParagraph"/>
        <w:numPr>
          <w:ilvl w:val="0"/>
          <w:numId w:val="9"/>
        </w:numPr>
        <w:shd w:val="clear" w:color="auto" w:fill="FFFFFF"/>
        <w:spacing w:lineRule="atLeast" w:line="225" w:before="0" w:after="150"/>
        <w:contextualSpacing/>
        <w:jc w:val="both"/>
        <w:rPr>
          <w:rFonts w:eastAsia="SimSun" w:cs="Calibri" w:cstheme="minorHAnsi"/>
          <w:b/>
          <w:b/>
          <w:color w:val="000000" w:themeColor="text1"/>
          <w:sz w:val="20"/>
          <w:szCs w:val="20"/>
          <w:u w:val="single"/>
        </w:rPr>
      </w:pPr>
      <w:r>
        <w:rPr>
          <w:rFonts w:eastAsia="SimSun" w:cs="Calibri" w:cstheme="minorHAnsi"/>
          <w:bCs/>
          <w:color w:val="000000" w:themeColor="text1"/>
          <w:sz w:val="20"/>
          <w:szCs w:val="20"/>
        </w:rPr>
        <w:t xml:space="preserve">Support the Ministries of Education and Health to develop and implement guidelines for </w:t>
      </w:r>
      <w:r>
        <w:rPr>
          <w:rFonts w:eastAsia="SimSun" w:cs="Calibri" w:cstheme="minorHAnsi"/>
          <w:b/>
          <w:bCs/>
          <w:color w:val="000000" w:themeColor="text1"/>
          <w:sz w:val="20"/>
          <w:szCs w:val="20"/>
        </w:rPr>
        <w:t>safe school operations during a nCoV outbreak</w:t>
      </w:r>
      <w:r>
        <w:rPr>
          <w:rFonts w:eastAsia="SimSun" w:cs="Calibri" w:cstheme="minorHAnsi"/>
          <w:bCs/>
          <w:color w:val="000000" w:themeColor="text1"/>
          <w:sz w:val="20"/>
          <w:szCs w:val="20"/>
        </w:rPr>
        <w:t xml:space="preserve"> (e.g. promotion of hand and respiratory hygiene, screening and referral of suspected cases, as appropriate), and </w:t>
      </w:r>
      <w:r>
        <w:rPr>
          <w:rFonts w:eastAsia="SimSun" w:cs="Calibri" w:cstheme="minorHAnsi"/>
          <w:b/>
          <w:bCs/>
          <w:color w:val="000000" w:themeColor="text1"/>
          <w:sz w:val="20"/>
          <w:szCs w:val="20"/>
        </w:rPr>
        <w:t>education about nCoV prevention</w:t>
      </w:r>
      <w:r>
        <w:rPr>
          <w:rFonts w:eastAsia="SimSun" w:cs="Calibri" w:cstheme="minorHAnsi"/>
          <w:bCs/>
          <w:color w:val="000000" w:themeColor="text1"/>
          <w:sz w:val="20"/>
          <w:szCs w:val="20"/>
        </w:rPr>
        <w:t xml:space="preserve">. </w:t>
      </w:r>
    </w:p>
    <w:p>
      <w:pPr>
        <w:pStyle w:val="ListParagraph"/>
        <w:ind w:left="360" w:hanging="0"/>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ind w:left="360" w:hanging="0"/>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9"/>
        </w:numPr>
        <w:ind w:left="360" w:hanging="36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Minimize morbidity and mortality due to nCoV</w:t>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r>
    </w:p>
    <w:p>
      <w:pPr>
        <w:pStyle w:val="ListParagraph"/>
        <w:numPr>
          <w:ilvl w:val="0"/>
          <w:numId w:val="9"/>
        </w:numPr>
        <w:shd w:val="clear" w:color="auto" w:fill="FFFFFF"/>
        <w:spacing w:lineRule="atLeast" w:line="225" w:before="0" w:after="150"/>
        <w:ind w:left="360" w:hanging="360"/>
        <w:contextualSpacing/>
        <w:jc w:val="both"/>
        <w:rPr>
          <w:rFonts w:eastAsia="SimSun" w:cs="Calibri" w:cstheme="minorHAnsi"/>
          <w:b/>
          <w:b/>
          <w:color w:val="000000" w:themeColor="text1"/>
          <w:sz w:val="20"/>
          <w:szCs w:val="20"/>
        </w:rPr>
      </w:pPr>
      <w:r>
        <w:rPr>
          <w:rFonts w:eastAsia="SimSun" w:cs="Calibri" w:cstheme="minorHAnsi"/>
          <w:b/>
          <w:color w:val="000000" w:themeColor="text1"/>
          <w:sz w:val="20"/>
          <w:szCs w:val="20"/>
        </w:rPr>
        <w:t>Surveillance and early warning system</w:t>
      </w:r>
    </w:p>
    <w:p>
      <w:pPr>
        <w:pStyle w:val="ListParagraph"/>
        <w:numPr>
          <w:ilvl w:val="0"/>
          <w:numId w:val="31"/>
        </w:numPr>
        <w:shd w:val="clear" w:color="auto" w:fill="FFFFFF"/>
        <w:spacing w:lineRule="atLeast" w:line="225" w:before="0" w:after="150"/>
        <w:contextualSpacing/>
        <w:jc w:val="both"/>
        <w:rPr>
          <w:rFonts w:eastAsia="SimSun" w:cs="Calibri" w:cstheme="minorHAnsi"/>
          <w:b/>
          <w:b/>
          <w:color w:val="000000" w:themeColor="text1"/>
          <w:sz w:val="20"/>
          <w:szCs w:val="20"/>
          <w:u w:val="single"/>
        </w:rPr>
      </w:pPr>
      <w:r>
        <w:rPr>
          <w:rFonts w:cs="Calibri" w:cstheme="minorHAnsi"/>
          <w:color w:val="000000" w:themeColor="text1"/>
          <w:sz w:val="20"/>
          <w:szCs w:val="20"/>
        </w:rPr>
        <w:t>Advocate for</w:t>
      </w:r>
      <w:r>
        <w:rPr>
          <w:rFonts w:cs="Calibri" w:cstheme="minorHAnsi"/>
          <w:b/>
          <w:bCs/>
          <w:color w:val="000000" w:themeColor="text1"/>
          <w:sz w:val="20"/>
          <w:szCs w:val="20"/>
        </w:rPr>
        <w:t xml:space="preserve"> surveillance systems to include the </w:t>
      </w:r>
      <w:r>
        <w:rPr>
          <w:rFonts w:cs="Calibri" w:cstheme="minorHAnsi"/>
          <w:b/>
          <w:color w:val="000000" w:themeColor="text1"/>
          <w:sz w:val="20"/>
          <w:szCs w:val="20"/>
        </w:rPr>
        <w:t>systematic collection of age/age categories and sex disaggregated data, as well as pregnancy status, as appropriate</w:t>
      </w:r>
      <w:r>
        <w:rPr>
          <w:rFonts w:cs="Calibri" w:cstheme="minorHAnsi"/>
          <w:color w:val="000000" w:themeColor="text1"/>
          <w:sz w:val="20"/>
          <w:szCs w:val="20"/>
        </w:rPr>
        <w:t>.</w:t>
      </w:r>
    </w:p>
    <w:p>
      <w:pPr>
        <w:pStyle w:val="ListParagraph"/>
        <w:numPr>
          <w:ilvl w:val="0"/>
          <w:numId w:val="31"/>
        </w:numPr>
        <w:shd w:val="clear" w:color="auto" w:fill="FFFFFF"/>
        <w:spacing w:lineRule="atLeast" w:line="225" w:before="0" w:after="150"/>
        <w:contextualSpacing/>
        <w:jc w:val="both"/>
        <w:rPr>
          <w:rFonts w:eastAsia="SimSun" w:cs="Calibri" w:cstheme="minorHAnsi"/>
          <w:b/>
          <w:b/>
          <w:color w:val="000000" w:themeColor="text1"/>
          <w:sz w:val="20"/>
          <w:szCs w:val="20"/>
          <w:u w:val="single"/>
        </w:rPr>
      </w:pPr>
      <w:r>
        <w:rPr>
          <w:rFonts w:eastAsia="SimSun" w:cs="Calibri" w:cstheme="minorHAnsi"/>
          <w:color w:val="000000" w:themeColor="text1"/>
          <w:sz w:val="20"/>
          <w:szCs w:val="20"/>
        </w:rPr>
        <w:t>Activate nCoV early warning alert and response systems in all UNICEF-supported programs as indicated.</w:t>
      </w:r>
    </w:p>
    <w:p>
      <w:pPr>
        <w:pStyle w:val="ListParagraph"/>
        <w:numPr>
          <w:ilvl w:val="0"/>
          <w:numId w:val="31"/>
        </w:numPr>
        <w:spacing w:lineRule="atLeast" w:line="225" w:before="0" w:after="150"/>
        <w:contextualSpacing/>
        <w:jc w:val="both"/>
        <w:rPr>
          <w:rFonts w:eastAsia="SimSun" w:cs="Calibri" w:cstheme="minorHAnsi"/>
          <w:b/>
          <w:b/>
          <w:color w:val="000000" w:themeColor="text1"/>
          <w:sz w:val="20"/>
          <w:szCs w:val="20"/>
          <w:u w:val="single"/>
        </w:rPr>
      </w:pPr>
      <w:r>
        <w:rPr>
          <w:rFonts w:eastAsia="SimSun" w:cs="Calibri" w:cstheme="minorHAnsi"/>
          <w:b/>
          <w:bCs/>
          <w:color w:val="000000" w:themeColor="text1"/>
          <w:sz w:val="20"/>
          <w:szCs w:val="20"/>
        </w:rPr>
        <w:t>Closely monitor, and as appropriate, conduct epidemiologic analysis together with WHO, on nCoV infection among children and pregnant women</w:t>
      </w:r>
      <w:r>
        <w:rPr>
          <w:rFonts w:eastAsia="SimSun" w:cs="Calibri" w:cstheme="minorHAnsi"/>
          <w:color w:val="000000" w:themeColor="text1"/>
          <w:sz w:val="20"/>
          <w:szCs w:val="20"/>
        </w:rPr>
        <w:t xml:space="preserve"> – including susceptibility to nCoV infection, clinical features (including disease severity and mortality, any associated complications such as miscarriages, preterm deliveries, growth restriction in the uterus, etc.). </w:t>
      </w:r>
    </w:p>
    <w:p>
      <w:pPr>
        <w:pStyle w:val="ListParagraph"/>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r>
    </w:p>
    <w:p>
      <w:pPr>
        <w:pStyle w:val="ListParagraph"/>
        <w:numPr>
          <w:ilvl w:val="0"/>
          <w:numId w:val="30"/>
        </w:numPr>
        <w:ind w:left="360" w:hanging="360"/>
        <w:jc w:val="both"/>
        <w:rPr>
          <w:rFonts w:eastAsia="SimSun" w:cs="Calibri" w:cstheme="minorHAnsi"/>
          <w:b/>
          <w:b/>
          <w:color w:val="000000" w:themeColor="text1"/>
          <w:sz w:val="20"/>
          <w:szCs w:val="20"/>
        </w:rPr>
      </w:pPr>
      <w:r>
        <w:rPr>
          <w:rFonts w:eastAsia="SimSun" w:cs="Calibri" w:cstheme="minorHAnsi"/>
          <w:b/>
          <w:color w:val="000000" w:themeColor="text1"/>
          <w:sz w:val="20"/>
          <w:szCs w:val="20"/>
        </w:rPr>
        <w:t>Case management</w:t>
      </w:r>
    </w:p>
    <w:p>
      <w:pPr>
        <w:pStyle w:val="Normal"/>
        <w:numPr>
          <w:ilvl w:val="0"/>
          <w:numId w:val="32"/>
        </w:numPr>
        <w:shd w:val="clear" w:color="auto" w:fill="FFFFFF"/>
        <w:spacing w:lineRule="atLeast" w:line="225" w:before="0" w:after="150"/>
        <w:jc w:val="both"/>
        <w:rPr/>
      </w:pPr>
      <w:r>
        <w:rPr>
          <w:rFonts w:eastAsia="SimSun" w:cs="Calibri" w:cstheme="minorHAnsi"/>
          <w:color w:val="000000" w:themeColor="text1"/>
          <w:sz w:val="20"/>
          <w:szCs w:val="20"/>
        </w:rPr>
        <w:t>In support of the government and in coordination with WHO,</w:t>
      </w:r>
      <w:r>
        <w:rPr>
          <w:rFonts w:eastAsia="SimSun" w:cs="Calibri" w:cstheme="minorHAnsi"/>
          <w:b/>
          <w:color w:val="000000" w:themeColor="text1"/>
          <w:sz w:val="20"/>
          <w:szCs w:val="20"/>
        </w:rPr>
        <w:t xml:space="preserve"> disseminate </w:t>
      </w:r>
      <w:hyperlink r:id="rId17">
        <w:r>
          <w:rPr>
            <w:rStyle w:val="InternetLink"/>
            <w:rFonts w:eastAsia="SimSun" w:cs="Calibri" w:cstheme="minorHAnsi"/>
            <w:b/>
            <w:sz w:val="20"/>
            <w:szCs w:val="20"/>
          </w:rPr>
          <w:t>nCoV case definitions</w:t>
        </w:r>
      </w:hyperlink>
      <w:r>
        <w:rPr>
          <w:rFonts w:eastAsia="SimSun" w:cs="Calibri" w:cstheme="minorHAnsi"/>
          <w:b/>
          <w:color w:val="000000" w:themeColor="text1"/>
          <w:sz w:val="20"/>
          <w:szCs w:val="20"/>
        </w:rPr>
        <w:t xml:space="preserve"> </w:t>
      </w:r>
      <w:r>
        <w:rPr>
          <w:rFonts w:eastAsia="SimSun" w:cs="Calibri" w:cstheme="minorHAnsi"/>
          <w:color w:val="000000" w:themeColor="text1"/>
          <w:sz w:val="20"/>
          <w:szCs w:val="20"/>
        </w:rPr>
        <w:t xml:space="preserve">and </w:t>
      </w:r>
      <w:r>
        <w:rPr>
          <w:rFonts w:eastAsia="SimSun" w:cs="Calibri" w:cstheme="minorHAnsi"/>
          <w:b/>
          <w:color w:val="000000" w:themeColor="text1"/>
          <w:sz w:val="20"/>
          <w:szCs w:val="20"/>
        </w:rPr>
        <w:t>conduct refresher trainings</w:t>
      </w:r>
      <w:r>
        <w:rPr>
          <w:rFonts w:eastAsia="SimSun" w:cs="Calibri" w:cstheme="minorHAnsi"/>
          <w:color w:val="000000" w:themeColor="text1"/>
          <w:sz w:val="20"/>
          <w:szCs w:val="20"/>
        </w:rPr>
        <w:t xml:space="preserve"> for primary health care providers (including UNICEF-supported IMCI and iCCM programs, as well as public, private, traditional practices, and pharmacies, as appropriate) to </w:t>
      </w:r>
      <w:r>
        <w:rPr>
          <w:rFonts w:eastAsia="SimSun" w:cs="Calibri" w:cstheme="minorHAnsi"/>
          <w:b/>
          <w:color w:val="000000" w:themeColor="text1"/>
          <w:sz w:val="20"/>
          <w:szCs w:val="20"/>
        </w:rPr>
        <w:t>strengthen nCoV detection, case management, and referral.</w:t>
      </w:r>
      <w:r>
        <w:rPr>
          <w:rFonts w:eastAsia="SimSun" w:cs="Calibri" w:cstheme="minorHAnsi"/>
          <w:color w:val="000000" w:themeColor="text1"/>
          <w:sz w:val="20"/>
          <w:szCs w:val="20"/>
        </w:rPr>
        <w:t xml:space="preserve"> </w:t>
      </w:r>
    </w:p>
    <w:p>
      <w:pPr>
        <w:pStyle w:val="Normal"/>
        <w:numPr>
          <w:ilvl w:val="0"/>
          <w:numId w:val="32"/>
        </w:numPr>
        <w:shd w:val="clear" w:color="auto" w:fill="FFFFFF"/>
        <w:spacing w:lineRule="atLeast" w:line="225" w:before="0" w:after="150"/>
        <w:jc w:val="both"/>
        <w:rPr/>
      </w:pPr>
      <w:r>
        <w:rPr>
          <w:rFonts w:eastAsia="SimSun" w:cs="Calibri" w:cstheme="minorHAnsi"/>
          <w:color w:val="000000" w:themeColor="text1"/>
          <w:sz w:val="20"/>
          <w:szCs w:val="20"/>
        </w:rPr>
        <w:t xml:space="preserve">In large scale outbreaks, UNICEF may develop new PCAs with partners to provide community-level triage, contact tracing, basic care and referral services. </w:t>
      </w:r>
      <w:r>
        <w:rPr>
          <w:rFonts w:eastAsia="SimSun" w:cs="Calibri" w:cstheme="minorHAnsi"/>
          <w:bCs/>
          <w:color w:val="000000" w:themeColor="text1"/>
          <w:sz w:val="20"/>
          <w:szCs w:val="20"/>
        </w:rPr>
        <w:t xml:space="preserve">Ensure </w:t>
      </w:r>
      <w:hyperlink r:id="rId18">
        <w:r>
          <w:rPr>
            <w:rStyle w:val="InternetLink"/>
            <w:bCs/>
            <w:sz w:val="20"/>
            <w:szCs w:val="20"/>
          </w:rPr>
          <w:t xml:space="preserve">nCoV </w:t>
        </w:r>
        <w:r>
          <w:rPr>
            <w:rStyle w:val="InternetLink"/>
            <w:rFonts w:eastAsia="SimSun" w:cs="Calibri" w:cstheme="minorHAnsi"/>
            <w:bCs/>
            <w:sz w:val="20"/>
            <w:szCs w:val="20"/>
          </w:rPr>
          <w:t>cases are managed</w:t>
        </w:r>
      </w:hyperlink>
      <w:r>
        <w:rPr>
          <w:rFonts w:eastAsia="SimSun" w:cs="Calibri" w:cstheme="minorHAnsi"/>
          <w:bCs/>
          <w:color w:val="000000" w:themeColor="text1"/>
          <w:sz w:val="20"/>
          <w:szCs w:val="20"/>
        </w:rPr>
        <w:t xml:space="preserve"> according to national protocols, with appropriate</w:t>
      </w:r>
      <w:hyperlink r:id="rId19">
        <w:r>
          <w:rPr>
            <w:rStyle w:val="InternetLink"/>
            <w:rFonts w:eastAsia="SimSun" w:cs="Calibri" w:cstheme="minorHAnsi"/>
            <w:bCs/>
            <w:sz w:val="20"/>
            <w:szCs w:val="20"/>
          </w:rPr>
          <w:t xml:space="preserve"> </w:t>
        </w:r>
        <w:r>
          <w:rPr>
            <w:rStyle w:val="InternetLink"/>
            <w:rFonts w:eastAsia="SimSun" w:cs="Calibri" w:cstheme="minorHAnsi"/>
            <w:b/>
            <w:bCs/>
            <w:sz w:val="20"/>
            <w:szCs w:val="20"/>
          </w:rPr>
          <w:t>infection prevention and control (IPC)</w:t>
        </w:r>
        <w:r>
          <w:rPr>
            <w:rStyle w:val="InternetLink"/>
            <w:rFonts w:eastAsia="SimSun" w:cs="Calibri" w:cstheme="minorHAnsi"/>
            <w:b/>
            <w:sz w:val="20"/>
            <w:szCs w:val="20"/>
          </w:rPr>
          <w:t xml:space="preserve"> measures</w:t>
        </w:r>
      </w:hyperlink>
      <w:r>
        <w:rPr>
          <w:rFonts w:eastAsia="SimSun" w:cs="Calibri" w:cstheme="minorHAnsi"/>
          <w:bCs/>
          <w:color w:val="000000" w:themeColor="text1"/>
          <w:sz w:val="20"/>
          <w:szCs w:val="20"/>
        </w:rPr>
        <w:t xml:space="preserve"> in place.</w:t>
      </w:r>
    </w:p>
    <w:p>
      <w:pPr>
        <w:pStyle w:val="Normal"/>
        <w:numPr>
          <w:ilvl w:val="0"/>
          <w:numId w:val="39"/>
        </w:numPr>
        <w:shd w:val="clear" w:color="auto" w:fill="FFFFFF"/>
        <w:spacing w:lineRule="atLeast" w:line="225" w:before="0" w:after="150"/>
        <w:ind w:left="360" w:hanging="360"/>
        <w:jc w:val="both"/>
        <w:rPr>
          <w:rFonts w:eastAsia="SimSun" w:cs="Calibri" w:cstheme="minorHAnsi"/>
          <w:b/>
          <w:b/>
          <w:color w:val="000000" w:themeColor="text1"/>
          <w:sz w:val="20"/>
          <w:szCs w:val="20"/>
        </w:rPr>
      </w:pPr>
      <w:r>
        <w:rPr>
          <w:rFonts w:eastAsia="SimSun" w:cs="Calibri" w:cstheme="minorHAnsi"/>
          <w:b/>
          <w:color w:val="000000" w:themeColor="text1"/>
          <w:sz w:val="20"/>
          <w:szCs w:val="20"/>
        </w:rPr>
        <w:t>Breastfeeding</w:t>
      </w:r>
    </w:p>
    <w:p>
      <w:pPr>
        <w:pStyle w:val="Normal"/>
        <w:numPr>
          <w:ilvl w:val="0"/>
          <w:numId w:val="40"/>
        </w:numPr>
        <w:shd w:val="clear" w:color="auto" w:fill="FFFFFF"/>
        <w:spacing w:lineRule="atLeast" w:line="225" w:before="0" w:after="150"/>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Disseminate appropriate recommendations for safe breastfeeding. </w:t>
      </w:r>
    </w:p>
    <w:p>
      <w:pPr>
        <w:pStyle w:val="ListParagraph"/>
        <w:numPr>
          <w:ilvl w:val="0"/>
          <w:numId w:val="19"/>
        </w:numPr>
        <w:ind w:left="360" w:hanging="36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Provide appropriate supplies and equipment to control the outbreak and support the health system</w:t>
      </w:r>
    </w:p>
    <w:p>
      <w:pPr>
        <w:pStyle w:val="ListParagraph"/>
        <w:ind w:left="360" w:hanging="0"/>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21"/>
        </w:numPr>
        <w:shd w:val="clear" w:color="auto" w:fill="FFFFFF"/>
        <w:spacing w:lineRule="atLeast" w:line="225" w:before="0" w:after="150"/>
        <w:ind w:left="360" w:hanging="360"/>
        <w:contextualSpacing/>
        <w:jc w:val="both"/>
        <w:rPr/>
      </w:pPr>
      <w:r>
        <w:rPr>
          <w:rFonts w:eastAsia="SimSun" w:cs="Calibri" w:cstheme="minorHAnsi"/>
          <w:color w:val="000000" w:themeColor="text1"/>
          <w:sz w:val="20"/>
          <w:szCs w:val="20"/>
        </w:rPr>
        <w:t xml:space="preserve">Implement the supply plan and distribution strategy, including procurement of nCoV supplies (reference: UNICEF Novel Coronavirus Supply Note, </w:t>
      </w:r>
      <w:hyperlink r:id="rId20">
        <w:r>
          <w:rPr>
            <w:rStyle w:val="InternetLink"/>
            <w:rFonts w:eastAsia="Calibri" w:cs="Calibri" w:cstheme="minorHAnsi"/>
            <w:bCs/>
            <w:sz w:val="20"/>
            <w:szCs w:val="20"/>
          </w:rPr>
          <w:t>WHO Disease Commodity Package for Novel Coronavirus</w:t>
        </w:r>
      </w:hyperlink>
      <w:r>
        <w:rPr>
          <w:rFonts w:eastAsia="Calibri" w:cs="Calibri" w:cstheme="minorHAnsi"/>
          <w:bCs/>
          <w:sz w:val="20"/>
          <w:szCs w:val="20"/>
        </w:rPr>
        <w:t>)</w:t>
      </w:r>
      <w:r>
        <w:rPr>
          <w:rFonts w:eastAsia="SimSun" w:cs="Calibri" w:cstheme="minorHAnsi"/>
          <w:color w:val="000000" w:themeColor="text1"/>
          <w:sz w:val="20"/>
          <w:szCs w:val="20"/>
        </w:rPr>
        <w:t>, shipping, storage and distribution of supplies in country.</w:t>
      </w:r>
    </w:p>
    <w:p>
      <w:pPr>
        <w:pStyle w:val="ListParagraph"/>
        <w:ind w:left="360" w:hanging="0"/>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9"/>
        </w:numPr>
        <w:ind w:left="360" w:hanging="36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Prevent and address the secondary impact of the outbreak – minimize the human consequences of the outbreak</w:t>
      </w:r>
    </w:p>
    <w:p>
      <w:pPr>
        <w:pStyle w:val="Normal"/>
        <w:shd w:val="clear" w:color="auto" w:fill="FFFFFF"/>
        <w:spacing w:lineRule="atLeast" w:line="225"/>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numPr>
          <w:ilvl w:val="0"/>
          <w:numId w:val="12"/>
        </w:numPr>
        <w:shd w:val="clear" w:color="auto" w:fill="FFFFFF"/>
        <w:spacing w:lineRule="atLeast" w:line="225"/>
        <w:ind w:left="36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Advocate</w:t>
      </w:r>
      <w:r>
        <w:rPr>
          <w:rFonts w:eastAsia="SimSun" w:cs="Calibri" w:cstheme="minorHAnsi"/>
          <w:color w:val="000000" w:themeColor="text1"/>
          <w:sz w:val="20"/>
          <w:szCs w:val="20"/>
        </w:rPr>
        <w:t xml:space="preserve"> for the </w:t>
      </w:r>
      <w:r>
        <w:rPr>
          <w:rFonts w:eastAsia="SimSun" w:cs="Calibri" w:cstheme="minorHAnsi"/>
          <w:b/>
          <w:color w:val="000000" w:themeColor="text1"/>
          <w:sz w:val="20"/>
          <w:szCs w:val="20"/>
        </w:rPr>
        <w:t>safe delivery and continuation of essential services</w:t>
      </w:r>
      <w:r>
        <w:rPr>
          <w:rFonts w:eastAsia="SimSun" w:cs="Calibri" w:cstheme="minorHAnsi"/>
          <w:color w:val="000000" w:themeColor="text1"/>
          <w:sz w:val="20"/>
          <w:szCs w:val="20"/>
        </w:rPr>
        <w:t xml:space="preserve"> including primary health care, WASH, nutrition, child protection, and education services. </w:t>
      </w:r>
    </w:p>
    <w:p>
      <w:pPr>
        <w:pStyle w:val="ListParagraph"/>
        <w:numPr>
          <w:ilvl w:val="0"/>
          <w:numId w:val="12"/>
        </w:numPr>
        <w:spacing w:before="0" w:after="0"/>
        <w:ind w:left="360" w:hanging="360"/>
        <w:contextualSpacing/>
        <w:jc w:val="both"/>
        <w:rPr>
          <w:rFonts w:cs="Calibri" w:cstheme="minorHAnsi"/>
          <w:sz w:val="20"/>
          <w:szCs w:val="20"/>
        </w:rPr>
      </w:pPr>
      <w:r>
        <w:rPr>
          <w:rFonts w:cs="Calibri" w:cstheme="minorHAnsi"/>
          <w:sz w:val="20"/>
          <w:szCs w:val="20"/>
        </w:rPr>
        <w:t xml:space="preserve">Provide adapted alternative learning support, including </w:t>
      </w:r>
      <w:r>
        <w:rPr>
          <w:rFonts w:cs="Calibri" w:cstheme="minorHAnsi"/>
          <w:b/>
          <w:sz w:val="20"/>
          <w:szCs w:val="20"/>
        </w:rPr>
        <w:t>remote schooling</w:t>
      </w:r>
      <w:r>
        <w:rPr>
          <w:rFonts w:cs="Calibri" w:cstheme="minorHAnsi"/>
          <w:sz w:val="20"/>
          <w:szCs w:val="20"/>
        </w:rPr>
        <w:t xml:space="preserve"> for school closures (see appendix)</w:t>
      </w:r>
    </w:p>
    <w:p>
      <w:pPr>
        <w:pStyle w:val="Normal"/>
        <w:numPr>
          <w:ilvl w:val="0"/>
          <w:numId w:val="12"/>
        </w:numPr>
        <w:shd w:val="clear" w:color="auto" w:fill="FFFFFF"/>
        <w:spacing w:lineRule="atLeast" w:line="225"/>
        <w:ind w:left="36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 xml:space="preserve">Advocate </w:t>
      </w:r>
      <w:r>
        <w:rPr>
          <w:rFonts w:eastAsia="SimSun" w:cs="Calibri" w:cstheme="minorHAnsi"/>
          <w:color w:val="000000" w:themeColor="text1"/>
          <w:sz w:val="20"/>
          <w:szCs w:val="20"/>
        </w:rPr>
        <w:t xml:space="preserve">for </w:t>
      </w:r>
      <w:r>
        <w:rPr>
          <w:rFonts w:eastAsia="SimSun" w:cs="Calibri" w:cstheme="minorHAnsi"/>
          <w:b/>
          <w:bCs/>
          <w:color w:val="000000" w:themeColor="text1"/>
          <w:sz w:val="20"/>
          <w:szCs w:val="20"/>
        </w:rPr>
        <w:t>timely assessment of potential broader humanitarian consequences</w:t>
      </w:r>
      <w:r>
        <w:rPr>
          <w:rFonts w:eastAsia="SimSun" w:cs="Calibri" w:cstheme="minorHAnsi"/>
          <w:color w:val="000000" w:themeColor="text1"/>
          <w:sz w:val="20"/>
          <w:szCs w:val="20"/>
        </w:rPr>
        <w:t xml:space="preserve"> of the nCoV outbreak. </w:t>
      </w:r>
    </w:p>
    <w:p>
      <w:pPr>
        <w:pStyle w:val="Normal"/>
        <w:numPr>
          <w:ilvl w:val="0"/>
          <w:numId w:val="12"/>
        </w:numPr>
        <w:shd w:val="clear" w:color="auto" w:fill="FFFFFF"/>
        <w:spacing w:lineRule="atLeast" w:line="225"/>
        <w:ind w:left="360" w:hanging="360"/>
        <w:jc w:val="both"/>
        <w:rPr/>
      </w:pPr>
      <w:r>
        <w:rPr>
          <w:rFonts w:eastAsia="SimSun" w:cs="Calibri" w:cstheme="minorHAnsi"/>
          <w:b/>
          <w:color w:val="000000" w:themeColor="text1"/>
          <w:sz w:val="20"/>
          <w:szCs w:val="20"/>
        </w:rPr>
        <w:t>Advocate</w:t>
      </w:r>
      <w:r>
        <w:rPr>
          <w:rFonts w:eastAsia="SimSun" w:cs="Calibri" w:cstheme="minorHAnsi"/>
          <w:color w:val="000000" w:themeColor="text1"/>
          <w:sz w:val="20"/>
          <w:szCs w:val="20"/>
        </w:rPr>
        <w:t xml:space="preserve"> for government and private sector (e.g. airlines) </w:t>
      </w:r>
      <w:r>
        <w:rPr>
          <w:rFonts w:eastAsia="SimSun" w:cs="Calibri" w:cstheme="minorHAnsi"/>
          <w:b/>
          <w:color w:val="000000" w:themeColor="text1"/>
          <w:sz w:val="20"/>
          <w:szCs w:val="20"/>
        </w:rPr>
        <w:t xml:space="preserve">compliance with </w:t>
      </w:r>
      <w:hyperlink r:id="rId21">
        <w:r>
          <w:rPr>
            <w:rStyle w:val="InternetLink"/>
            <w:rFonts w:eastAsia="SimSun" w:cs="Calibri" w:cstheme="minorHAnsi"/>
            <w:b/>
            <w:sz w:val="20"/>
            <w:szCs w:val="20"/>
          </w:rPr>
          <w:t>IHR and WHO trade and travel recommendations</w:t>
        </w:r>
      </w:hyperlink>
      <w:r>
        <w:rPr>
          <w:rFonts w:eastAsia="SimSun" w:cs="Calibri" w:cstheme="minorHAnsi"/>
          <w:color w:val="000000" w:themeColor="text1"/>
          <w:sz w:val="20"/>
          <w:szCs w:val="20"/>
        </w:rPr>
        <w:t xml:space="preserve"> (e.g. avoid any unnecessary border closures, trade or travel restrictions, cancellation of flights that are in contravention of IHR travel recommendations, and potentially have grave consequences for affected populations and the response).</w:t>
      </w:r>
    </w:p>
    <w:p>
      <w:pPr>
        <w:pStyle w:val="Normal"/>
        <w:shd w:val="clear" w:color="auto" w:fill="FFFFFF"/>
        <w:spacing w:lineRule="atLeast" w:line="225"/>
        <w:ind w:left="360" w:hanging="0"/>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numPr>
          <w:ilvl w:val="0"/>
          <w:numId w:val="12"/>
        </w:numPr>
        <w:shd w:val="clear" w:color="auto" w:fill="FFFFFF"/>
        <w:spacing w:lineRule="atLeast" w:line="225"/>
        <w:ind w:left="36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 xml:space="preserve">Psychosocial support (PSS) and child protection </w:t>
      </w:r>
    </w:p>
    <w:p>
      <w:pPr>
        <w:pStyle w:val="Normal"/>
        <w:numPr>
          <w:ilvl w:val="0"/>
          <w:numId w:val="33"/>
        </w:numPr>
        <w:shd w:val="clear" w:color="auto" w:fill="FFFFFF"/>
        <w:spacing w:lineRule="atLeast" w:line="225" w:before="0" w:after="150"/>
        <w:ind w:left="720" w:hanging="360"/>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Support </w:t>
      </w:r>
      <w:r>
        <w:rPr>
          <w:rFonts w:eastAsia="SimSun" w:cs="Calibri" w:cstheme="minorHAnsi"/>
          <w:b/>
          <w:color w:val="000000" w:themeColor="text1"/>
          <w:sz w:val="20"/>
          <w:szCs w:val="20"/>
        </w:rPr>
        <w:t>psychosocial support services</w:t>
      </w:r>
      <w:r>
        <w:rPr>
          <w:rFonts w:eastAsia="SimSun" w:cs="Calibri" w:cstheme="minorHAnsi"/>
          <w:color w:val="000000" w:themeColor="text1"/>
          <w:sz w:val="20"/>
          <w:szCs w:val="20"/>
        </w:rPr>
        <w:t xml:space="preserve"> for affected children and communities according to context.  </w:t>
      </w:r>
    </w:p>
    <w:p>
      <w:pPr>
        <w:pStyle w:val="Normal"/>
        <w:numPr>
          <w:ilvl w:val="0"/>
          <w:numId w:val="33"/>
        </w:numPr>
        <w:shd w:val="clear" w:color="auto" w:fill="FFFFFF"/>
        <w:spacing w:lineRule="atLeast" w:line="225" w:before="0" w:after="150"/>
        <w:ind w:left="720" w:hanging="360"/>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Engage communities to assess and </w:t>
      </w:r>
      <w:r>
        <w:rPr>
          <w:rFonts w:eastAsia="SimSun" w:cs="Calibri" w:cstheme="minorHAnsi"/>
          <w:b/>
          <w:color w:val="000000" w:themeColor="text1"/>
          <w:sz w:val="20"/>
          <w:szCs w:val="20"/>
        </w:rPr>
        <w:t>address any potential stigmatization</w:t>
      </w:r>
      <w:r>
        <w:rPr>
          <w:rFonts w:eastAsia="SimSun" w:cs="Calibri" w:cstheme="minorHAnsi"/>
          <w:color w:val="000000" w:themeColor="text1"/>
          <w:sz w:val="20"/>
          <w:szCs w:val="20"/>
        </w:rPr>
        <w:t xml:space="preserve"> of populations related to nCoV.</w:t>
      </w:r>
    </w:p>
    <w:p>
      <w:pPr>
        <w:pStyle w:val="Normal"/>
        <w:numPr>
          <w:ilvl w:val="0"/>
          <w:numId w:val="33"/>
        </w:numPr>
        <w:shd w:val="clear" w:color="auto" w:fill="FFFFFF"/>
        <w:spacing w:lineRule="atLeast" w:line="225" w:before="0" w:after="150"/>
        <w:ind w:left="720" w:hanging="360"/>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Working with health and social services at the national and sub-national level, identify and deliver </w:t>
      </w:r>
      <w:r>
        <w:rPr>
          <w:rFonts w:eastAsia="SimSun" w:cs="Calibri" w:cstheme="minorHAnsi"/>
          <w:b/>
          <w:color w:val="000000" w:themeColor="text1"/>
          <w:sz w:val="20"/>
          <w:szCs w:val="20"/>
        </w:rPr>
        <w:t>protection services for children left without a care provider</w:t>
      </w:r>
      <w:r>
        <w:rPr>
          <w:rFonts w:eastAsia="SimSun" w:cs="Calibri" w:cstheme="minorHAnsi"/>
          <w:color w:val="000000" w:themeColor="text1"/>
          <w:sz w:val="20"/>
          <w:szCs w:val="20"/>
        </w:rPr>
        <w:t>, due to the hospitalization or death of the parent or care provider.</w:t>
      </w:r>
    </w:p>
    <w:p>
      <w:pPr>
        <w:pStyle w:val="Normal"/>
        <w:numPr>
          <w:ilvl w:val="0"/>
          <w:numId w:val="33"/>
        </w:numPr>
        <w:shd w:val="clear" w:color="auto" w:fill="FFFFFF"/>
        <w:spacing w:lineRule="atLeast" w:line="225" w:before="0" w:after="150"/>
        <w:ind w:left="360" w:hanging="360"/>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As appropriate, support the provision of </w:t>
      </w:r>
      <w:r>
        <w:rPr>
          <w:rFonts w:eastAsia="SimSun" w:cs="Calibri" w:cstheme="minorHAnsi"/>
          <w:b/>
          <w:color w:val="000000" w:themeColor="text1"/>
          <w:sz w:val="20"/>
          <w:szCs w:val="20"/>
        </w:rPr>
        <w:t>social protection services</w:t>
      </w:r>
      <w:r>
        <w:rPr>
          <w:rFonts w:eastAsia="SimSun" w:cs="Calibri" w:cstheme="minorHAnsi"/>
          <w:color w:val="000000" w:themeColor="text1"/>
          <w:sz w:val="20"/>
          <w:szCs w:val="20"/>
        </w:rPr>
        <w:t xml:space="preserve"> for economically vulnerable households affected by nCoV.</w:t>
      </w:r>
    </w:p>
    <w:p>
      <w:pPr>
        <w:pStyle w:val="ListParagraph"/>
        <w:numPr>
          <w:ilvl w:val="0"/>
          <w:numId w:val="19"/>
        </w:numPr>
        <w:ind w:left="360" w:hanging="36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Ensure staff safety and duty of care</w:t>
      </w:r>
    </w:p>
    <w:p>
      <w:pPr>
        <w:pStyle w:val="ListParagraph"/>
        <w:ind w:left="360" w:hanging="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r>
    </w:p>
    <w:p>
      <w:pPr>
        <w:pStyle w:val="ListParagraph"/>
        <w:numPr>
          <w:ilvl w:val="0"/>
          <w:numId w:val="23"/>
        </w:numPr>
        <w:ind w:left="360" w:hanging="360"/>
        <w:jc w:val="both"/>
        <w:rPr/>
      </w:pPr>
      <w:r>
        <w:rPr>
          <w:rFonts w:eastAsia="SimSun" w:cs="Calibri" w:cstheme="minorHAnsi"/>
          <w:bCs/>
          <w:sz w:val="20"/>
          <w:szCs w:val="20"/>
          <w:lang w:eastAsia="ja-JP"/>
        </w:rPr>
        <w:t xml:space="preserve">Disseminate </w:t>
      </w:r>
      <w:hyperlink r:id="rId22">
        <w:r>
          <w:rPr>
            <w:rStyle w:val="InternetLink"/>
            <w:rFonts w:eastAsia="SimSun" w:cs="Calibri" w:cstheme="minorHAnsi"/>
            <w:bCs/>
            <w:sz w:val="20"/>
            <w:szCs w:val="20"/>
            <w:lang w:eastAsia="ja-JP"/>
          </w:rPr>
          <w:t>staff guidance for personal protection</w:t>
        </w:r>
      </w:hyperlink>
      <w:r>
        <w:rPr>
          <w:rFonts w:eastAsia="SimSun" w:cs="Calibri" w:cstheme="minorHAnsi"/>
          <w:bCs/>
          <w:sz w:val="20"/>
          <w:szCs w:val="20"/>
          <w:lang w:eastAsia="ja-JP"/>
        </w:rPr>
        <w:t>.</w:t>
      </w:r>
    </w:p>
    <w:p>
      <w:pPr>
        <w:pStyle w:val="ListParagraph"/>
        <w:numPr>
          <w:ilvl w:val="0"/>
          <w:numId w:val="23"/>
        </w:numPr>
        <w:ind w:left="360" w:hanging="360"/>
        <w:jc w:val="both"/>
        <w:rPr>
          <w:rFonts w:eastAsia="SimSun" w:cs="Calibri" w:cstheme="minorHAnsi"/>
          <w:bCs/>
          <w:sz w:val="20"/>
          <w:szCs w:val="20"/>
          <w:lang w:eastAsia="ja-JP"/>
        </w:rPr>
      </w:pPr>
      <w:r>
        <w:rPr>
          <w:rFonts w:eastAsia="SimSun" w:cs="Calibri" w:cstheme="minorHAnsi"/>
          <w:bCs/>
          <w:sz w:val="20"/>
          <w:szCs w:val="20"/>
          <w:lang w:eastAsia="ja-JP"/>
        </w:rPr>
        <w:t>Organize staff and family briefings for personal protection.</w:t>
      </w:r>
    </w:p>
    <w:p>
      <w:pPr>
        <w:pStyle w:val="ListParagraph"/>
        <w:numPr>
          <w:ilvl w:val="0"/>
          <w:numId w:val="23"/>
        </w:numPr>
        <w:ind w:left="360" w:hanging="360"/>
        <w:jc w:val="both"/>
        <w:rPr>
          <w:rFonts w:eastAsia="SimSun" w:cs="Calibri" w:cstheme="minorHAnsi"/>
          <w:bCs/>
          <w:sz w:val="20"/>
          <w:szCs w:val="20"/>
          <w:lang w:eastAsia="ja-JP"/>
        </w:rPr>
      </w:pPr>
      <w:r>
        <w:rPr>
          <w:rFonts w:eastAsia="SimSun" w:cs="Calibri" w:cstheme="minorHAnsi"/>
          <w:bCs/>
          <w:sz w:val="20"/>
          <w:szCs w:val="20"/>
          <w:lang w:eastAsia="ja-JP"/>
        </w:rPr>
        <w:t xml:space="preserve">Distribute stocks of soap, alcohol-based hand sanitizers, and disinfection materials. </w:t>
      </w:r>
      <w:r>
        <w:rPr>
          <w:rFonts w:eastAsia="SimSun" w:cs="Calibri" w:cstheme="minorHAnsi"/>
          <w:bCs/>
          <w:sz w:val="20"/>
          <w:szCs w:val="20"/>
          <w:u w:val="single"/>
          <w:lang w:eastAsia="ja-JP"/>
        </w:rPr>
        <w:t>Medical masks are not needed nor recommended</w:t>
      </w:r>
      <w:r>
        <w:rPr>
          <w:rFonts w:eastAsia="SimSun" w:cs="Calibri" w:cstheme="minorHAnsi"/>
          <w:bCs/>
          <w:sz w:val="20"/>
          <w:szCs w:val="20"/>
          <w:lang w:eastAsia="ja-JP"/>
        </w:rPr>
        <w:t xml:space="preserve"> for individuals without symptoms.</w:t>
      </w:r>
    </w:p>
    <w:p>
      <w:pPr>
        <w:pStyle w:val="ListParagraph"/>
        <w:numPr>
          <w:ilvl w:val="0"/>
          <w:numId w:val="23"/>
        </w:numPr>
        <w:ind w:left="360" w:hanging="360"/>
        <w:jc w:val="both"/>
        <w:rPr>
          <w:rFonts w:eastAsia="SimSun" w:cs="Calibri" w:cstheme="minorHAnsi"/>
          <w:bCs/>
          <w:sz w:val="20"/>
          <w:szCs w:val="20"/>
          <w:lang w:eastAsia="ja-JP"/>
        </w:rPr>
      </w:pPr>
      <w:r>
        <w:rPr>
          <w:rFonts w:eastAsia="SimSun" w:cs="Calibri" w:cstheme="minorHAnsi"/>
          <w:bCs/>
          <w:sz w:val="20"/>
          <w:szCs w:val="20"/>
          <w:lang w:eastAsia="ja-JP"/>
        </w:rPr>
        <w:t>Enforce hand and respiratory hygiene in the office.</w:t>
      </w:r>
    </w:p>
    <w:p>
      <w:pPr>
        <w:pStyle w:val="ListParagraph"/>
        <w:ind w:left="360" w:hanging="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r>
    </w:p>
    <w:p>
      <w:pPr>
        <w:pStyle w:val="ListParagraph"/>
        <w:ind w:left="360" w:hanging="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r>
    </w:p>
    <w:p>
      <w:pPr>
        <w:pStyle w:val="ListParagraph"/>
        <w:numPr>
          <w:ilvl w:val="0"/>
          <w:numId w:val="19"/>
        </w:numPr>
        <w:ind w:left="360" w:hanging="360"/>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t>Office operations: preparedness and business continuity</w:t>
      </w:r>
    </w:p>
    <w:p>
      <w:pPr>
        <w:pStyle w:val="ListParagrap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r>
    </w:p>
    <w:p>
      <w:pPr>
        <w:pStyle w:val="Normal"/>
        <w:numPr>
          <w:ilvl w:val="0"/>
          <w:numId w:val="1"/>
        </w:numPr>
        <w:shd w:val="clear" w:color="auto" w:fill="FFFFFF"/>
        <w:spacing w:lineRule="atLeast" w:line="225" w:before="0" w:after="150"/>
        <w:ind w:left="360" w:hanging="360"/>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Upon declaration of an outbreak, </w:t>
      </w:r>
      <w:r>
        <w:rPr>
          <w:rFonts w:eastAsia="SimSun" w:cs="Calibri" w:cstheme="minorHAnsi"/>
          <w:b/>
          <w:color w:val="000000" w:themeColor="text1"/>
          <w:sz w:val="20"/>
          <w:szCs w:val="20"/>
        </w:rPr>
        <w:t>establish a cross-sectoral team</w:t>
      </w:r>
      <w:r>
        <w:rPr>
          <w:rFonts w:eastAsia="SimSun" w:cs="Calibri" w:cstheme="minorHAnsi"/>
          <w:color w:val="000000" w:themeColor="text1"/>
          <w:sz w:val="20"/>
          <w:szCs w:val="20"/>
        </w:rPr>
        <w:t xml:space="preserve"> for information sharing and internal coordination (See above Preparedness: Office operations), and </w:t>
      </w:r>
      <w:r>
        <w:rPr>
          <w:rFonts w:eastAsia="SimSun" w:cs="Calibri" w:cstheme="minorHAnsi"/>
          <w:b/>
          <w:color w:val="000000" w:themeColor="text1"/>
          <w:sz w:val="20"/>
          <w:szCs w:val="20"/>
        </w:rPr>
        <w:t>designate the team leader</w:t>
      </w:r>
      <w:r>
        <w:rPr>
          <w:rFonts w:eastAsia="SimSun" w:cs="Calibri" w:cstheme="minorHAnsi"/>
          <w:color w:val="000000" w:themeColor="text1"/>
          <w:sz w:val="20"/>
          <w:szCs w:val="20"/>
        </w:rPr>
        <w:t xml:space="preserve">. </w:t>
      </w:r>
    </w:p>
    <w:p>
      <w:pPr>
        <w:pStyle w:val="Normal"/>
        <w:numPr>
          <w:ilvl w:val="0"/>
          <w:numId w:val="1"/>
        </w:numPr>
        <w:shd w:val="clear" w:color="auto" w:fill="FFFFFF"/>
        <w:spacing w:lineRule="atLeast" w:line="225" w:before="0" w:after="150"/>
        <w:ind w:left="36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Activate emergency clauses in existing PCAs, contingency or standby PCAs for programme implementation</w:t>
      </w:r>
      <w:r>
        <w:rPr>
          <w:rFonts w:eastAsia="SimSun" w:cs="Calibri" w:cstheme="minorHAnsi"/>
          <w:color w:val="000000" w:themeColor="text1"/>
          <w:sz w:val="20"/>
          <w:szCs w:val="20"/>
        </w:rPr>
        <w:t xml:space="preserve">. Develop as necessary new </w:t>
      </w:r>
      <w:r>
        <w:rPr>
          <w:rFonts w:eastAsia="SimSun" w:cs="Calibri" w:cstheme="minorHAnsi"/>
          <w:b/>
          <w:color w:val="000000" w:themeColor="text1"/>
          <w:sz w:val="20"/>
          <w:szCs w:val="20"/>
        </w:rPr>
        <w:t>PCAs and contracts</w:t>
      </w:r>
      <w:r>
        <w:rPr>
          <w:rStyle w:val="FootnoteAnchor"/>
          <w:rStyle w:val="FootnoteAnchor"/>
          <w:rFonts w:eastAsia="SimSun" w:cs="Calibri" w:cstheme="minorHAnsi"/>
          <w:b/>
          <w:color w:val="000000" w:themeColor="text1"/>
          <w:sz w:val="20"/>
          <w:szCs w:val="20"/>
          <w:vertAlign w:val="superscript"/>
        </w:rPr>
        <w:footnoteReference w:id="7"/>
      </w:r>
      <w:r>
        <w:rPr>
          <w:rFonts w:eastAsia="SimSun" w:cs="Calibri" w:cstheme="minorHAnsi"/>
          <w:b/>
          <w:color w:val="000000" w:themeColor="text1"/>
          <w:sz w:val="20"/>
          <w:szCs w:val="20"/>
        </w:rPr>
        <w:t xml:space="preserve"> with partners</w:t>
      </w:r>
      <w:r>
        <w:rPr>
          <w:rFonts w:eastAsia="SimSun" w:cs="Calibri" w:cstheme="minorHAnsi"/>
          <w:color w:val="000000" w:themeColor="text1"/>
          <w:sz w:val="20"/>
          <w:szCs w:val="20"/>
        </w:rPr>
        <w:t xml:space="preserve"> to deliver services for nCoV control and address any secondary impacts. </w:t>
      </w:r>
    </w:p>
    <w:p>
      <w:pPr>
        <w:pStyle w:val="Normal"/>
        <w:numPr>
          <w:ilvl w:val="0"/>
          <w:numId w:val="1"/>
        </w:numPr>
        <w:shd w:val="clear" w:color="auto" w:fill="FFFFFF"/>
        <w:spacing w:lineRule="atLeast" w:line="225" w:before="0" w:after="150"/>
        <w:ind w:left="360" w:hanging="360"/>
        <w:jc w:val="both"/>
        <w:rPr/>
      </w:pPr>
      <w:r>
        <w:rPr>
          <w:rFonts w:eastAsia="SimSun" w:cs="Calibri" w:cstheme="minorHAnsi"/>
          <w:color w:val="000000" w:themeColor="text1"/>
          <w:sz w:val="20"/>
          <w:szCs w:val="20"/>
        </w:rPr>
        <w:t xml:space="preserve">Identify </w:t>
      </w:r>
      <w:r>
        <w:rPr>
          <w:rFonts w:eastAsia="SimSun" w:cs="Calibri" w:cstheme="minorHAnsi"/>
          <w:b/>
          <w:color w:val="000000" w:themeColor="text1"/>
          <w:sz w:val="20"/>
          <w:szCs w:val="20"/>
        </w:rPr>
        <w:t>surge support needs</w:t>
      </w:r>
      <w:r>
        <w:rPr>
          <w:rFonts w:eastAsia="SimSun" w:cs="Calibri" w:cstheme="minorHAnsi"/>
          <w:color w:val="000000" w:themeColor="text1"/>
          <w:sz w:val="20"/>
          <w:szCs w:val="20"/>
        </w:rPr>
        <w:t xml:space="preserve">, access the internal roster of technical and operational experts and standby partners. Review the </w:t>
      </w:r>
      <w:hyperlink r:id="rId23">
        <w:r>
          <w:rPr>
            <w:rStyle w:val="ListLabel167"/>
            <w:rFonts w:eastAsia="SimSun" w:cs="Calibri" w:cstheme="minorHAnsi"/>
            <w:color w:val="000000" w:themeColor="text1"/>
            <w:sz w:val="20"/>
            <w:szCs w:val="20"/>
          </w:rPr>
          <w:t>HR staff deployment guidance</w:t>
        </w:r>
      </w:hyperlink>
      <w:r>
        <w:rPr>
          <w:rFonts w:eastAsia="SimSun" w:cs="Calibri" w:cstheme="minorHAnsi"/>
          <w:color w:val="000000" w:themeColor="text1"/>
          <w:sz w:val="20"/>
          <w:szCs w:val="20"/>
        </w:rPr>
        <w:t xml:space="preserve">. </w:t>
      </w:r>
    </w:p>
    <w:p>
      <w:pPr>
        <w:pStyle w:val="Normal"/>
        <w:numPr>
          <w:ilvl w:val="0"/>
          <w:numId w:val="1"/>
        </w:numPr>
        <w:shd w:val="clear" w:color="auto" w:fill="FFFFFF"/>
        <w:spacing w:lineRule="atLeast" w:line="225" w:before="0" w:after="150"/>
        <w:ind w:left="360" w:hanging="360"/>
        <w:jc w:val="both"/>
        <w:rPr/>
      </w:pPr>
      <w:r>
        <w:rPr>
          <w:rFonts w:eastAsia="SimSun" w:cs="Calibri" w:cstheme="minorHAnsi"/>
          <w:b/>
          <w:color w:val="000000" w:themeColor="text1"/>
          <w:sz w:val="20"/>
          <w:szCs w:val="20"/>
        </w:rPr>
        <w:t>Mobilize funds</w:t>
      </w:r>
      <w:r>
        <w:rPr>
          <w:rFonts w:eastAsia="SimSun" w:cs="Calibri" w:cstheme="minorHAnsi"/>
          <w:color w:val="000000" w:themeColor="text1"/>
          <w:sz w:val="20"/>
          <w:szCs w:val="20"/>
        </w:rPr>
        <w:t xml:space="preserve"> internally (e.g. reprogram existing funds, request Emergency Programme Fund to jump start) and through external funding sources such as CERF (</w:t>
      </w:r>
      <w:hyperlink r:id="rId24">
        <w:r>
          <w:rPr>
            <w:rStyle w:val="ListLabel168"/>
            <w:rFonts w:eastAsia="SimSun" w:cs="Calibri" w:cstheme="minorHAnsi"/>
            <w:color w:val="000000" w:themeColor="text1"/>
            <w:sz w:val="20"/>
            <w:szCs w:val="20"/>
            <w:u w:val="single"/>
          </w:rPr>
          <w:t>Funding appeal checklist</w:t>
        </w:r>
      </w:hyperlink>
      <w:r>
        <w:rPr>
          <w:rFonts w:eastAsia="SimSun" w:cs="Calibri" w:cstheme="minorHAnsi"/>
          <w:color w:val="000000" w:themeColor="text1"/>
          <w:sz w:val="20"/>
          <w:szCs w:val="20"/>
        </w:rPr>
        <w:t xml:space="preserve">). </w:t>
      </w:r>
    </w:p>
    <w:p>
      <w:pPr>
        <w:pStyle w:val="Normal"/>
        <w:numPr>
          <w:ilvl w:val="0"/>
          <w:numId w:val="1"/>
        </w:numPr>
        <w:shd w:val="clear" w:color="auto" w:fill="FFFFFF"/>
        <w:spacing w:lineRule="atLeast" w:line="225" w:before="0" w:after="150"/>
        <w:ind w:left="360" w:hanging="360"/>
        <w:jc w:val="both"/>
        <w:rPr>
          <w:rFonts w:eastAsia="Times New Roman" w:cs="Calibri" w:cstheme="minorHAnsi"/>
          <w:color w:val="000000" w:themeColor="text1"/>
          <w:sz w:val="20"/>
          <w:szCs w:val="20"/>
        </w:rPr>
      </w:pPr>
      <w:r>
        <w:rPr>
          <w:rFonts w:eastAsia="SimSun" w:cs="Calibri" w:cstheme="minorHAnsi"/>
          <w:color w:val="000000" w:themeColor="text1"/>
          <w:sz w:val="20"/>
          <w:szCs w:val="20"/>
        </w:rPr>
        <w:t xml:space="preserve">Implement the Business Continuity Plan and the Security Risk Management plan. </w:t>
      </w:r>
    </w:p>
    <w:p>
      <w:pPr>
        <w:pStyle w:val="Normal"/>
        <w:spacing w:lineRule="atLeast" w:line="225"/>
        <w:jc w:val="both"/>
        <w:rPr>
          <w:rFonts w:cs="Calibri" w:cstheme="minorHAnsi"/>
          <w:b/>
          <w:b/>
          <w:color w:val="00B0F0"/>
          <w:sz w:val="22"/>
          <w:szCs w:val="22"/>
        </w:rPr>
      </w:pPr>
      <w:r>
        <w:rPr>
          <w:rFonts w:cs="Calibri" w:cstheme="minorHAnsi"/>
          <w:b/>
          <w:color w:val="00B0F0"/>
          <w:sz w:val="22"/>
          <w:szCs w:val="22"/>
        </w:rPr>
      </w:r>
    </w:p>
    <w:p>
      <w:pPr>
        <w:pStyle w:val="Normal"/>
        <w:spacing w:lineRule="atLeast" w:line="225"/>
        <w:jc w:val="both"/>
        <w:rPr>
          <w:rFonts w:cs="Calibri" w:cstheme="minorHAnsi"/>
          <w:b/>
          <w:b/>
          <w:color w:val="00B0F0"/>
          <w:sz w:val="22"/>
          <w:szCs w:val="22"/>
        </w:rPr>
      </w:pPr>
      <w:r>
        <w:rPr>
          <w:rFonts w:cs="Calibri" w:cstheme="minorHAnsi"/>
          <w:b/>
          <w:color w:val="00B0F0"/>
          <w:sz w:val="22"/>
          <w:szCs w:val="22"/>
        </w:rPr>
      </w:r>
    </w:p>
    <w:p>
      <w:pPr>
        <w:pStyle w:val="Normal"/>
        <w:shd w:val="clear" w:color="auto" w:fill="FFFFFF"/>
        <w:spacing w:lineRule="atLeast" w:line="225"/>
        <w:ind w:left="360" w:hanging="0"/>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shd w:val="clear" w:color="auto" w:fill="FFFFFF"/>
        <w:spacing w:lineRule="atLeast" w:line="225" w:before="0" w:after="150"/>
        <w:ind w:left="360" w:hanging="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ListParagraph"/>
        <w:shd w:val="clear" w:color="auto" w:fill="FFFFFF"/>
        <w:spacing w:lineRule="atLeast" w:line="225" w:before="0" w:after="150"/>
        <w:ind w:left="360" w:hanging="0"/>
        <w:contextualSpacing/>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r>
    </w:p>
    <w:p>
      <w:pPr>
        <w:pStyle w:val="Normal"/>
        <w:jc w:val="both"/>
        <w:rPr>
          <w:rFonts w:eastAsia="SimSun" w:cs="Calibri" w:cstheme="minorHAnsi"/>
          <w:b/>
          <w:b/>
          <w:color w:val="000000" w:themeColor="text1"/>
          <w:sz w:val="20"/>
          <w:szCs w:val="20"/>
        </w:rPr>
      </w:pPr>
      <w:r>
        <w:rPr>
          <w:rFonts w:eastAsia="SimSun" w:cs="Calibri" w:cstheme="minorHAnsi"/>
          <w:b/>
          <w:color w:val="000000" w:themeColor="text1"/>
          <w:sz w:val="20"/>
          <w:szCs w:val="20"/>
        </w:rPr>
      </w:r>
    </w:p>
    <w:p>
      <w:pPr>
        <w:pStyle w:val="Normal"/>
        <w:shd w:val="clear" w:color="auto" w:fill="FFFFFF"/>
        <w:spacing w:lineRule="atLeast" w:line="225" w:before="0" w:after="150"/>
        <w:ind w:left="360" w:hanging="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spacing w:before="0" w:after="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spacing w:lineRule="auto" w:line="276" w:before="0" w:after="200"/>
        <w:rPr>
          <w:rFonts w:eastAsia="ＭＳ 明朝" w:cs="Calibri" w:cstheme="minorHAnsi" w:eastAsiaTheme="minorEastAsia"/>
          <w:color w:val="000000" w:themeColor="text1"/>
          <w:sz w:val="20"/>
          <w:szCs w:val="20"/>
        </w:rPr>
      </w:pPr>
      <w:r>
        <w:rPr>
          <w:rFonts w:eastAsia="ＭＳ 明朝" w:cs="Calibri" w:cstheme="minorHAnsi" w:eastAsiaTheme="minorEastAsia"/>
          <w:color w:val="000000" w:themeColor="text1"/>
          <w:sz w:val="20"/>
          <w:szCs w:val="20"/>
        </w:rPr>
      </w:r>
      <w:r>
        <w:br w:type="page"/>
      </w:r>
    </w:p>
    <w:p>
      <w:pPr>
        <w:pStyle w:val="Normal"/>
        <w:rPr>
          <w:rFonts w:eastAsia="ＭＳ 明朝" w:cs="Calibri" w:cstheme="minorHAnsi" w:eastAsiaTheme="minorEastAsia"/>
          <w:color w:val="000000" w:themeColor="text1"/>
          <w:sz w:val="20"/>
          <w:szCs w:val="20"/>
        </w:rPr>
      </w:pPr>
      <w:r>
        <w:rPr>
          <w:rFonts w:eastAsia="ＭＳ 明朝" w:cs="Calibri" w:cstheme="minorHAnsi" w:eastAsiaTheme="minorEastAsia"/>
          <w:color w:val="000000" w:themeColor="text1"/>
          <w:sz w:val="20"/>
          <w:szCs w:val="20"/>
        </w:rPr>
      </w:r>
    </w:p>
    <w:p>
      <w:pPr>
        <w:pStyle w:val="Normal"/>
        <w:numPr>
          <w:ilvl w:val="0"/>
          <w:numId w:val="0"/>
        </w:numPr>
        <w:shd w:val="clear" w:color="auto" w:fill="099BDD"/>
        <w:outlineLvl w:val="0"/>
        <w:rPr>
          <w:rFonts w:eastAsia="ＭＳ ゴシック" w:cs="Calibri" w:cstheme="minorHAnsi" w:eastAsiaTheme="majorEastAsia"/>
          <w:caps/>
          <w:color w:val="FFFFFF" w:themeColor="background1"/>
          <w:sz w:val="22"/>
          <w:szCs w:val="22"/>
          <w:lang w:eastAsia="ja-JP"/>
        </w:rPr>
      </w:pPr>
      <w:r>
        <w:rPr>
          <w:rFonts w:eastAsia="ＭＳ ゴシック" w:cs="Calibri" w:cstheme="minorHAnsi" w:eastAsiaTheme="majorEastAsia"/>
          <w:caps/>
          <w:color w:val="FFFFFF" w:themeColor="background1"/>
          <w:sz w:val="22"/>
          <w:szCs w:val="22"/>
          <w:lang w:eastAsia="ja-JP"/>
        </w:rPr>
        <w:t xml:space="preserve"> </w:t>
      </w:r>
      <w:r>
        <w:rPr>
          <w:rFonts w:eastAsia="ＭＳ ゴシック" w:cs="Calibri" w:cstheme="minorHAnsi" w:eastAsiaTheme="majorEastAsia"/>
          <w:caps/>
          <w:color w:val="FFFFFF" w:themeColor="background1"/>
          <w:sz w:val="22"/>
          <w:szCs w:val="22"/>
          <w:lang w:eastAsia="ja-JP"/>
        </w:rPr>
        <w:t>ADDITIONAL RESOURCES</w:t>
      </w:r>
    </w:p>
    <w:p>
      <w:pPr>
        <w:pStyle w:val="Normal"/>
        <w:rPr>
          <w:rFonts w:eastAsia="Calibri" w:cs="Calibri" w:cstheme="minorHAnsi"/>
          <w:b/>
          <w:b/>
          <w:bCs/>
          <w:sz w:val="20"/>
          <w:szCs w:val="20"/>
        </w:rPr>
      </w:pPr>
      <w:r>
        <w:rPr>
          <w:rFonts w:eastAsia="Calibri" w:cs="Calibri" w:cstheme="minorHAnsi"/>
          <w:b/>
          <w:bCs/>
          <w:sz w:val="20"/>
          <w:szCs w:val="20"/>
        </w:rPr>
      </w:r>
    </w:p>
    <w:p>
      <w:pPr>
        <w:pStyle w:val="Normal"/>
        <w:rPr>
          <w:rFonts w:eastAsia="Calibri" w:cs="Calibri" w:cstheme="minorHAnsi"/>
          <w:b/>
          <w:b/>
          <w:bCs/>
          <w:sz w:val="20"/>
          <w:szCs w:val="20"/>
          <w:u w:val="single"/>
        </w:rPr>
      </w:pPr>
      <w:r>
        <w:rPr>
          <w:rFonts w:eastAsia="Calibri" w:cs="Calibri" w:cstheme="minorHAnsi"/>
          <w:b/>
          <w:bCs/>
          <w:sz w:val="20"/>
          <w:szCs w:val="20"/>
          <w:u w:val="single"/>
        </w:rPr>
        <w:t>Novel coronavirus (2019-nCoV)</w:t>
      </w:r>
    </w:p>
    <w:p>
      <w:pPr>
        <w:pStyle w:val="Normal"/>
        <w:rPr>
          <w:rFonts w:eastAsia="Calibri" w:cs="Calibri" w:cstheme="minorHAnsi"/>
          <w:b/>
          <w:b/>
          <w:bCs/>
          <w:sz w:val="20"/>
          <w:szCs w:val="20"/>
          <w:u w:val="single"/>
        </w:rPr>
      </w:pPr>
      <w:r>
        <w:rPr>
          <w:rFonts w:eastAsia="Calibri" w:cs="Calibri" w:cstheme="minorHAnsi"/>
          <w:b/>
          <w:bCs/>
          <w:sz w:val="20"/>
          <w:szCs w:val="20"/>
          <w:u w:val="single"/>
        </w:rPr>
      </w:r>
    </w:p>
    <w:p>
      <w:pPr>
        <w:pStyle w:val="ListParagraph"/>
        <w:numPr>
          <w:ilvl w:val="0"/>
          <w:numId w:val="2"/>
        </w:numPr>
        <w:rPr>
          <w:rFonts w:eastAsia="Calibri" w:cs="Calibri" w:cstheme="minorHAnsi"/>
          <w:b/>
          <w:b/>
          <w:bCs/>
          <w:sz w:val="20"/>
          <w:szCs w:val="20"/>
        </w:rPr>
      </w:pPr>
      <w:r>
        <w:rPr>
          <w:rFonts w:eastAsia="Calibri" w:cs="Calibri" w:cstheme="minorHAnsi"/>
          <w:b/>
          <w:bCs/>
          <w:sz w:val="20"/>
          <w:szCs w:val="20"/>
        </w:rPr>
        <w:t>General information</w:t>
      </w:r>
    </w:p>
    <w:p>
      <w:pPr>
        <w:pStyle w:val="ListParagraph"/>
        <w:numPr>
          <w:ilvl w:val="1"/>
          <w:numId w:val="2"/>
        </w:numPr>
        <w:rPr/>
      </w:pPr>
      <w:hyperlink r:id="rId25">
        <w:r>
          <w:rPr>
            <w:rStyle w:val="InternetLink"/>
            <w:rFonts w:eastAsia="Calibri" w:cs="Calibri" w:cstheme="minorHAnsi"/>
            <w:bCs/>
            <w:sz w:val="20"/>
            <w:szCs w:val="20"/>
          </w:rPr>
          <w:t>WHO Health topics: Coronavirus</w:t>
        </w:r>
      </w:hyperlink>
      <w:r>
        <w:rPr>
          <w:rFonts w:eastAsia="Calibri" w:cs="Calibri" w:cstheme="minorHAnsi"/>
          <w:bCs/>
          <w:sz w:val="20"/>
          <w:szCs w:val="20"/>
        </w:rPr>
        <w:t xml:space="preserve"> </w:t>
      </w:r>
    </w:p>
    <w:p>
      <w:pPr>
        <w:pStyle w:val="ListParagraph"/>
        <w:numPr>
          <w:ilvl w:val="1"/>
          <w:numId w:val="2"/>
        </w:numPr>
        <w:rPr/>
      </w:pPr>
      <w:hyperlink r:id="rId26">
        <w:r>
          <w:rPr>
            <w:rStyle w:val="InternetLink"/>
            <w:rFonts w:eastAsia="Calibri" w:cs="Calibri" w:cstheme="minorHAnsi"/>
            <w:bCs/>
            <w:sz w:val="20"/>
            <w:szCs w:val="20"/>
          </w:rPr>
          <w:t>WHO Q&amp;A on coronaviruses</w:t>
        </w:r>
      </w:hyperlink>
    </w:p>
    <w:p>
      <w:pPr>
        <w:pStyle w:val="ListParagraph"/>
        <w:ind w:left="1080" w:hanging="0"/>
        <w:rPr>
          <w:rFonts w:eastAsia="Calibri" w:cs="Calibri" w:cstheme="minorHAnsi"/>
          <w:bCs/>
          <w:sz w:val="20"/>
          <w:szCs w:val="20"/>
        </w:rPr>
      </w:pPr>
      <w:r>
        <w:rPr>
          <w:rFonts w:eastAsia="Calibri" w:cs="Calibri" w:cstheme="minorHAnsi"/>
          <w:bCs/>
          <w:sz w:val="20"/>
          <w:szCs w:val="20"/>
        </w:rPr>
      </w:r>
    </w:p>
    <w:p>
      <w:pPr>
        <w:pStyle w:val="ListParagraph"/>
        <w:numPr>
          <w:ilvl w:val="0"/>
          <w:numId w:val="2"/>
        </w:numPr>
        <w:rPr>
          <w:rFonts w:eastAsia="Calibri" w:cs="Calibri" w:cstheme="minorHAnsi"/>
          <w:bCs/>
          <w:sz w:val="20"/>
          <w:szCs w:val="20"/>
        </w:rPr>
      </w:pPr>
      <w:r>
        <w:rPr>
          <w:rFonts w:eastAsia="Calibri" w:cs="Calibri" w:cstheme="minorHAnsi"/>
          <w:b/>
          <w:bCs/>
          <w:sz w:val="20"/>
          <w:szCs w:val="20"/>
        </w:rPr>
        <w:t>WHO reports and updates</w:t>
      </w:r>
    </w:p>
    <w:p>
      <w:pPr>
        <w:pStyle w:val="ListParagraph"/>
        <w:numPr>
          <w:ilvl w:val="1"/>
          <w:numId w:val="2"/>
        </w:numPr>
        <w:rPr/>
      </w:pPr>
      <w:hyperlink r:id="rId27">
        <w:r>
          <w:rPr>
            <w:rStyle w:val="InternetLink"/>
            <w:rFonts w:eastAsia="Calibri" w:cs="Calibri" w:cstheme="minorHAnsi"/>
            <w:bCs/>
            <w:sz w:val="20"/>
            <w:szCs w:val="20"/>
          </w:rPr>
          <w:t>WHO Novel Coronavirus situation reports</w:t>
        </w:r>
      </w:hyperlink>
    </w:p>
    <w:p>
      <w:pPr>
        <w:pStyle w:val="ListParagraph"/>
        <w:numPr>
          <w:ilvl w:val="1"/>
          <w:numId w:val="2"/>
        </w:numPr>
        <w:rPr/>
      </w:pPr>
      <w:hyperlink r:id="rId28">
        <w:r>
          <w:rPr>
            <w:rStyle w:val="InternetLink"/>
            <w:rFonts w:eastAsia="Calibri" w:cs="Calibri" w:cstheme="minorHAnsi"/>
            <w:bCs/>
            <w:sz w:val="20"/>
            <w:szCs w:val="20"/>
          </w:rPr>
          <w:t>WHO Disease Outbreak News</w:t>
        </w:r>
      </w:hyperlink>
    </w:p>
    <w:p>
      <w:pPr>
        <w:pStyle w:val="ListParagraph"/>
        <w:ind w:left="360" w:hanging="0"/>
        <w:rPr>
          <w:rFonts w:eastAsia="Calibri" w:cs="Calibri" w:cstheme="minorHAnsi"/>
          <w:b/>
          <w:b/>
          <w:bCs/>
          <w:sz w:val="20"/>
          <w:szCs w:val="20"/>
        </w:rPr>
      </w:pPr>
      <w:r>
        <w:rPr>
          <w:rFonts w:eastAsia="Calibri" w:cs="Calibri" w:cstheme="minorHAnsi"/>
          <w:b/>
          <w:bCs/>
          <w:sz w:val="20"/>
          <w:szCs w:val="20"/>
        </w:rPr>
      </w:r>
    </w:p>
    <w:p>
      <w:pPr>
        <w:pStyle w:val="ListParagraph"/>
        <w:numPr>
          <w:ilvl w:val="0"/>
          <w:numId w:val="2"/>
        </w:numPr>
        <w:rPr/>
      </w:pPr>
      <w:hyperlink r:id="rId29">
        <w:r>
          <w:rPr>
            <w:rStyle w:val="InternetLink"/>
            <w:rFonts w:eastAsia="Calibri" w:cs="Calibri" w:cstheme="minorHAnsi"/>
            <w:b/>
            <w:bCs/>
            <w:sz w:val="20"/>
            <w:szCs w:val="20"/>
          </w:rPr>
          <w:t>WHO Technical guidance</w:t>
        </w:r>
      </w:hyperlink>
      <w:r>
        <w:rPr>
          <w:rFonts w:eastAsia="Calibri" w:cs="Calibri" w:cstheme="minorHAnsi"/>
          <w:b/>
          <w:bCs/>
          <w:sz w:val="20"/>
          <w:szCs w:val="20"/>
        </w:rPr>
        <w:t xml:space="preserve"> </w:t>
      </w:r>
      <w:r>
        <w:rPr>
          <w:rFonts w:eastAsia="Calibri" w:cs="Calibri" w:cstheme="minorHAnsi"/>
          <w:sz w:val="20"/>
          <w:szCs w:val="20"/>
        </w:rPr>
        <w:t>(regularly updated)</w:t>
      </w:r>
    </w:p>
    <w:p>
      <w:pPr>
        <w:pStyle w:val="ListParagraph"/>
        <w:numPr>
          <w:ilvl w:val="1"/>
          <w:numId w:val="2"/>
        </w:numPr>
        <w:rPr>
          <w:sz w:val="20"/>
          <w:szCs w:val="20"/>
        </w:rPr>
      </w:pPr>
      <w:r>
        <w:rPr>
          <w:rFonts w:eastAsia="Calibri" w:cs="Calibri" w:cstheme="minorHAnsi"/>
          <w:bCs/>
          <w:sz w:val="20"/>
          <w:szCs w:val="20"/>
        </w:rPr>
        <w:t xml:space="preserve">Country readiness / </w:t>
      </w:r>
      <w:r>
        <w:rPr>
          <w:sz w:val="20"/>
          <w:szCs w:val="20"/>
        </w:rPr>
        <w:t>National capacities review tool for a novel coronavirus (nCoV)</w:t>
      </w:r>
    </w:p>
    <w:p>
      <w:pPr>
        <w:pStyle w:val="ListParagraph"/>
        <w:numPr>
          <w:ilvl w:val="1"/>
          <w:numId w:val="2"/>
        </w:numPr>
        <w:rPr>
          <w:rFonts w:eastAsia="Calibri" w:cs="Calibri" w:cstheme="minorHAnsi"/>
          <w:bCs/>
          <w:sz w:val="20"/>
          <w:szCs w:val="20"/>
        </w:rPr>
      </w:pPr>
      <w:r>
        <w:rPr>
          <w:sz w:val="20"/>
          <w:szCs w:val="20"/>
        </w:rPr>
        <w:t>Surveillance and case definitions for human infection with novel coronavirus (nCoV)</w:t>
      </w:r>
    </w:p>
    <w:p>
      <w:pPr>
        <w:pStyle w:val="ListParagraph"/>
        <w:numPr>
          <w:ilvl w:val="1"/>
          <w:numId w:val="2"/>
        </w:numPr>
        <w:rPr>
          <w:rFonts w:eastAsia="Calibri" w:cs="Calibri" w:cstheme="minorHAnsi"/>
          <w:bCs/>
          <w:sz w:val="20"/>
          <w:szCs w:val="20"/>
        </w:rPr>
      </w:pPr>
      <w:r>
        <w:rPr>
          <w:rFonts w:eastAsia="Calibri" w:cs="Calibri" w:cstheme="minorHAnsi"/>
          <w:bCs/>
          <w:sz w:val="20"/>
          <w:szCs w:val="20"/>
        </w:rPr>
        <w:t>Early investigations</w:t>
      </w:r>
    </w:p>
    <w:p>
      <w:pPr>
        <w:pStyle w:val="ListParagraph"/>
        <w:numPr>
          <w:ilvl w:val="2"/>
          <w:numId w:val="2"/>
        </w:numPr>
        <w:rPr>
          <w:rFonts w:eastAsia="Calibri" w:cs="Calibri" w:cstheme="minorHAnsi"/>
          <w:bCs/>
          <w:sz w:val="20"/>
          <w:szCs w:val="20"/>
        </w:rPr>
      </w:pPr>
      <w:r>
        <w:rPr>
          <w:rFonts w:eastAsia="Calibri" w:cs="Calibri" w:cstheme="minorHAnsi"/>
          <w:bCs/>
          <w:sz w:val="20"/>
          <w:szCs w:val="20"/>
        </w:rPr>
        <w:t>Protocol for assessment of potential risk factors for 2019-novel coronavirus (2019-nCoV) infection among health care workers in a health care setting</w:t>
      </w:r>
    </w:p>
    <w:p>
      <w:pPr>
        <w:pStyle w:val="ListParagraph"/>
        <w:numPr>
          <w:ilvl w:val="2"/>
          <w:numId w:val="2"/>
        </w:numPr>
        <w:rPr>
          <w:rFonts w:eastAsia="Calibri" w:cs="Calibri" w:cstheme="minorHAnsi"/>
          <w:bCs/>
          <w:sz w:val="20"/>
          <w:szCs w:val="20"/>
        </w:rPr>
      </w:pPr>
      <w:r>
        <w:rPr>
          <w:rFonts w:eastAsia="Calibri" w:cs="Calibri" w:cstheme="minorHAnsi"/>
          <w:bCs/>
          <w:sz w:val="20"/>
          <w:szCs w:val="20"/>
        </w:rPr>
        <w:t xml:space="preserve">Household transmission investigation protocol for 2019-novel coronavirus (2019-nCoV) infection </w:t>
      </w:r>
    </w:p>
    <w:p>
      <w:pPr>
        <w:pStyle w:val="ListParagraph"/>
        <w:numPr>
          <w:ilvl w:val="2"/>
          <w:numId w:val="2"/>
        </w:numPr>
        <w:rPr>
          <w:rFonts w:eastAsia="Calibri" w:cs="Calibri" w:cstheme="minorHAnsi"/>
          <w:bCs/>
          <w:sz w:val="20"/>
          <w:szCs w:val="20"/>
        </w:rPr>
      </w:pPr>
      <w:r>
        <w:rPr>
          <w:rFonts w:eastAsia="Calibri" w:cs="Calibri" w:cstheme="minorHAnsi"/>
          <w:bCs/>
          <w:sz w:val="20"/>
          <w:szCs w:val="20"/>
        </w:rPr>
        <w:t>The First Few X (FFX) Cases and contact investigation protocol for 2019-novel coronavirus (2019-nCoV) infection</w:t>
      </w:r>
    </w:p>
    <w:p>
      <w:pPr>
        <w:pStyle w:val="ListParagraph"/>
        <w:numPr>
          <w:ilvl w:val="2"/>
          <w:numId w:val="2"/>
        </w:numPr>
        <w:rPr>
          <w:rFonts w:eastAsia="Calibri" w:cs="Calibri" w:cstheme="minorHAnsi"/>
          <w:bCs/>
          <w:sz w:val="20"/>
          <w:szCs w:val="20"/>
        </w:rPr>
      </w:pPr>
      <w:r>
        <w:rPr>
          <w:rFonts w:eastAsia="Calibri" w:cs="Calibri" w:cstheme="minorHAnsi"/>
          <w:bCs/>
          <w:sz w:val="20"/>
          <w:szCs w:val="20"/>
        </w:rPr>
        <w:t xml:space="preserve">Global 2019-nCoV Clinical Characterization Case Record Form   </w:t>
      </w:r>
    </w:p>
    <w:p>
      <w:pPr>
        <w:pStyle w:val="ListParagraph"/>
        <w:numPr>
          <w:ilvl w:val="1"/>
          <w:numId w:val="2"/>
        </w:numPr>
        <w:rPr>
          <w:rFonts w:eastAsia="Calibri" w:cs="Calibri" w:cstheme="minorHAnsi"/>
          <w:bCs/>
          <w:sz w:val="20"/>
          <w:szCs w:val="20"/>
        </w:rPr>
      </w:pPr>
      <w:r>
        <w:rPr>
          <w:sz w:val="20"/>
          <w:szCs w:val="20"/>
        </w:rPr>
        <w:t>Laboratory testing of human suspected cases of novel coronavirus (nCoV) infection</w:t>
      </w:r>
    </w:p>
    <w:p>
      <w:pPr>
        <w:pStyle w:val="ListParagraph"/>
        <w:numPr>
          <w:ilvl w:val="1"/>
          <w:numId w:val="2"/>
        </w:numPr>
        <w:rPr>
          <w:rFonts w:eastAsia="Calibri" w:cs="Calibri" w:cstheme="minorHAnsi"/>
          <w:bCs/>
          <w:sz w:val="20"/>
          <w:szCs w:val="20"/>
        </w:rPr>
      </w:pPr>
      <w:r>
        <w:rPr>
          <w:rFonts w:eastAsia="Calibri" w:cs="Calibri" w:cstheme="minorHAnsi"/>
          <w:bCs/>
          <w:sz w:val="20"/>
          <w:szCs w:val="20"/>
        </w:rPr>
        <w:t>Patient management</w:t>
      </w:r>
    </w:p>
    <w:p>
      <w:pPr>
        <w:pStyle w:val="ListParagraph"/>
        <w:numPr>
          <w:ilvl w:val="2"/>
          <w:numId w:val="2"/>
        </w:numPr>
        <w:rPr>
          <w:rFonts w:eastAsia="Calibri" w:cs="Calibri" w:cstheme="minorHAnsi"/>
          <w:bCs/>
          <w:sz w:val="20"/>
          <w:szCs w:val="20"/>
        </w:rPr>
      </w:pPr>
      <w:r>
        <w:rPr>
          <w:sz w:val="20"/>
          <w:szCs w:val="20"/>
        </w:rPr>
        <w:t xml:space="preserve">Clinical management </w:t>
      </w:r>
      <w:r>
        <w:rPr>
          <w:rFonts w:eastAsia="Calibri" w:cs="Calibri" w:cstheme="minorHAnsi"/>
          <w:bCs/>
          <w:sz w:val="20"/>
          <w:szCs w:val="20"/>
        </w:rPr>
        <w:t>for suspected novel coronavirus (nCoV)</w:t>
      </w:r>
    </w:p>
    <w:p>
      <w:pPr>
        <w:pStyle w:val="ListParagraph"/>
        <w:numPr>
          <w:ilvl w:val="2"/>
          <w:numId w:val="2"/>
        </w:numPr>
        <w:rPr>
          <w:rFonts w:eastAsia="Calibri" w:cs="Calibri" w:cstheme="minorHAnsi"/>
          <w:bCs/>
          <w:sz w:val="20"/>
          <w:szCs w:val="20"/>
        </w:rPr>
      </w:pPr>
      <w:r>
        <w:rPr>
          <w:rFonts w:eastAsia="Calibri" w:cs="Calibri" w:cstheme="minorHAnsi"/>
          <w:bCs/>
          <w:sz w:val="20"/>
          <w:szCs w:val="20"/>
        </w:rPr>
        <w:t>Home care for patients with suspected novel coronavirus (only for mild cases unable to be hospitalized)</w:t>
      </w:r>
    </w:p>
    <w:p>
      <w:pPr>
        <w:pStyle w:val="ListParagraph"/>
        <w:numPr>
          <w:ilvl w:val="1"/>
          <w:numId w:val="2"/>
        </w:numPr>
        <w:rPr>
          <w:rFonts w:eastAsia="Calibri" w:cs="Calibri" w:cstheme="minorHAnsi"/>
          <w:bCs/>
          <w:sz w:val="20"/>
          <w:szCs w:val="20"/>
        </w:rPr>
      </w:pPr>
      <w:r>
        <w:rPr>
          <w:sz w:val="20"/>
          <w:szCs w:val="20"/>
        </w:rPr>
        <w:t>Infection prevention and control in health care facilities</w:t>
      </w:r>
    </w:p>
    <w:p>
      <w:pPr>
        <w:pStyle w:val="ListParagraph"/>
        <w:numPr>
          <w:ilvl w:val="1"/>
          <w:numId w:val="2"/>
        </w:numPr>
        <w:rPr>
          <w:rFonts w:eastAsia="Calibri" w:cs="Calibri" w:cstheme="minorHAnsi"/>
          <w:bCs/>
          <w:sz w:val="20"/>
          <w:szCs w:val="20"/>
        </w:rPr>
      </w:pPr>
      <w:r>
        <w:rPr>
          <w:rFonts w:eastAsia="Calibri" w:cs="Calibri" w:cstheme="minorHAnsi"/>
          <w:bCs/>
          <w:sz w:val="20"/>
          <w:szCs w:val="20"/>
        </w:rPr>
        <w:t>Advice on the use of masks in the community, during home care and in health care settings in the context of the novel coronavirus (2019-nCoV) outbreak</w:t>
      </w:r>
    </w:p>
    <w:p>
      <w:pPr>
        <w:pStyle w:val="ListParagraph"/>
        <w:numPr>
          <w:ilvl w:val="1"/>
          <w:numId w:val="2"/>
        </w:numPr>
        <w:rPr>
          <w:rFonts w:eastAsia="Calibri" w:cs="Calibri" w:cstheme="minorHAnsi"/>
          <w:bCs/>
          <w:sz w:val="20"/>
          <w:szCs w:val="20"/>
        </w:rPr>
      </w:pPr>
      <w:r>
        <w:rPr>
          <w:sz w:val="20"/>
          <w:szCs w:val="20"/>
        </w:rPr>
        <w:t>Risk communication and community engagement readiness and initial response for novel coronaviruses (nCoV)</w:t>
      </w:r>
    </w:p>
    <w:p>
      <w:pPr>
        <w:pStyle w:val="ListParagraph"/>
        <w:numPr>
          <w:ilvl w:val="1"/>
          <w:numId w:val="2"/>
        </w:numPr>
        <w:rPr>
          <w:rFonts w:eastAsia="Calibri" w:cs="Calibri" w:cstheme="minorHAnsi"/>
          <w:bCs/>
          <w:sz w:val="20"/>
          <w:szCs w:val="20"/>
        </w:rPr>
      </w:pPr>
      <w:r>
        <w:rPr>
          <w:sz w:val="20"/>
          <w:szCs w:val="20"/>
        </w:rPr>
        <w:t>Disease commodity package for novel coronavirus</w:t>
      </w:r>
    </w:p>
    <w:p>
      <w:pPr>
        <w:pStyle w:val="ListParagraph"/>
        <w:numPr>
          <w:ilvl w:val="1"/>
          <w:numId w:val="2"/>
        </w:numPr>
        <w:rPr>
          <w:rStyle w:val="InternetLink"/>
          <w:rFonts w:eastAsia="Calibri" w:cs="Calibri" w:cstheme="minorHAnsi"/>
          <w:bCs/>
          <w:color w:val="auto"/>
          <w:sz w:val="20"/>
          <w:szCs w:val="20"/>
          <w:u w:val="none"/>
        </w:rPr>
      </w:pPr>
      <w:r>
        <w:rPr>
          <w:rFonts w:eastAsia="Calibri" w:cs="Calibri" w:cstheme="minorHAnsi"/>
          <w:bCs/>
          <w:sz w:val="20"/>
          <w:szCs w:val="20"/>
        </w:rPr>
        <w:t>Reduction of transmission from animals to humans</w:t>
      </w:r>
    </w:p>
    <w:p>
      <w:pPr>
        <w:pStyle w:val="ListParagraph"/>
        <w:ind w:left="1080" w:hanging="0"/>
        <w:rPr>
          <w:rFonts w:eastAsia="Calibri" w:cs="Calibri" w:cstheme="minorHAnsi"/>
          <w:bCs/>
          <w:sz w:val="20"/>
          <w:szCs w:val="20"/>
        </w:rPr>
      </w:pPr>
      <w:r>
        <w:rPr>
          <w:rFonts w:eastAsia="Calibri" w:cs="Calibri" w:cstheme="minorHAnsi"/>
          <w:bCs/>
          <w:sz w:val="20"/>
          <w:szCs w:val="20"/>
        </w:rPr>
      </w:r>
    </w:p>
    <w:p>
      <w:pPr>
        <w:pStyle w:val="ListParagraph"/>
        <w:numPr>
          <w:ilvl w:val="0"/>
          <w:numId w:val="2"/>
        </w:numPr>
        <w:rPr/>
      </w:pPr>
      <w:hyperlink r:id="rId30">
        <w:r>
          <w:rPr>
            <w:rStyle w:val="InternetLink"/>
            <w:rFonts w:eastAsia="Calibri" w:cs="Calibri" w:cstheme="minorHAnsi"/>
            <w:b/>
            <w:bCs/>
            <w:sz w:val="20"/>
            <w:szCs w:val="20"/>
          </w:rPr>
          <w:t>WHO 2019-nCoV travel advice</w:t>
        </w:r>
      </w:hyperlink>
    </w:p>
    <w:p>
      <w:pPr>
        <w:pStyle w:val="Normal"/>
        <w:rPr>
          <w:rFonts w:eastAsia="Calibri" w:cs="Calibri" w:cstheme="minorHAnsi"/>
          <w:b/>
          <w:b/>
          <w:bCs/>
          <w:sz w:val="20"/>
          <w:szCs w:val="20"/>
        </w:rPr>
      </w:pPr>
      <w:r>
        <w:rPr>
          <w:rFonts w:eastAsia="Calibri" w:cs="Calibri" w:cstheme="minorHAnsi"/>
          <w:b/>
          <w:bCs/>
          <w:sz w:val="20"/>
          <w:szCs w:val="20"/>
        </w:rPr>
      </w:r>
    </w:p>
    <w:p>
      <w:pPr>
        <w:pStyle w:val="Normal"/>
        <w:rPr>
          <w:rFonts w:ascii="Times New Roman" w:hAnsi="Times New Roman" w:cs="Times New Roman"/>
        </w:rPr>
      </w:pPr>
      <w:r>
        <w:rPr>
          <w:rFonts w:cs="Times New Roman" w:ascii="Times New Roman" w:hAnsi="Times New Roman"/>
        </w:rPr>
      </w:r>
    </w:p>
    <w:p>
      <w:pPr>
        <w:pStyle w:val="Normal"/>
        <w:spacing w:lineRule="auto" w:line="276" w:before="0" w:after="200"/>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rPr>
      </w:pPr>
      <w:r>
        <w:rPr>
          <w:rFonts w:cs="Times New Roman" w:ascii="Times New Roman" w:hAnsi="Times New Roman"/>
          <w:b/>
        </w:rPr>
        <w:t>Appendix 1. Alternative schooling support summary table</w:t>
      </w:r>
    </w:p>
    <w:p>
      <w:pPr>
        <w:pStyle w:val="Normal"/>
        <w:rPr>
          <w:rFonts w:ascii="Times New Roman" w:hAnsi="Times New Roman" w:cs="Times New Roman"/>
        </w:rPr>
      </w:pPr>
      <w:r>
        <w:rPr>
          <w:rFonts w:cs="Times New Roman" w:ascii="Times New Roman" w:hAnsi="Times New Roman"/>
        </w:rPr>
      </w:r>
    </w:p>
    <w:tbl>
      <w:tblPr>
        <w:tblW w:w="990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1" w:val="04a0" w:noHBand="0" w:lastColumn="0" w:firstColumn="1" w:lastRow="0" w:firstRow="1"/>
      </w:tblPr>
      <w:tblGrid>
        <w:gridCol w:w="2767"/>
        <w:gridCol w:w="3586"/>
        <w:gridCol w:w="3552"/>
      </w:tblGrid>
      <w:tr>
        <w:trPr>
          <w:trHeight w:val="428" w:hRule="atLeast"/>
        </w:trPr>
        <w:tc>
          <w:tcPr>
            <w:tcW w:w="27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b/>
                <w:b/>
                <w:bCs/>
                <w:sz w:val="20"/>
                <w:szCs w:val="20"/>
              </w:rPr>
            </w:pPr>
            <w:r>
              <w:rPr>
                <w:b/>
                <w:bCs/>
                <w:sz w:val="20"/>
                <w:szCs w:val="20"/>
              </w:rPr>
            </w:r>
          </w:p>
        </w:tc>
        <w:tc>
          <w:tcPr>
            <w:tcW w:w="3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b/>
                <w:b/>
                <w:bCs/>
                <w:sz w:val="20"/>
                <w:szCs w:val="20"/>
              </w:rPr>
            </w:pPr>
            <w:r>
              <w:rPr>
                <w:b/>
                <w:bCs/>
                <w:sz w:val="20"/>
                <w:szCs w:val="20"/>
              </w:rPr>
              <w:t xml:space="preserve">Strong Systems </w:t>
            </w:r>
          </w:p>
        </w:tc>
        <w:tc>
          <w:tcPr>
            <w:tcW w:w="35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b/>
                <w:b/>
                <w:bCs/>
                <w:sz w:val="20"/>
                <w:szCs w:val="20"/>
              </w:rPr>
            </w:pPr>
            <w:r>
              <w:rPr>
                <w:b/>
                <w:bCs/>
                <w:sz w:val="20"/>
                <w:szCs w:val="20"/>
              </w:rPr>
              <w:t>Vulnerable Systems</w:t>
            </w:r>
          </w:p>
          <w:p>
            <w:pPr>
              <w:pStyle w:val="Normal"/>
              <w:rPr>
                <w:b/>
                <w:b/>
                <w:bCs/>
                <w:sz w:val="20"/>
                <w:szCs w:val="20"/>
              </w:rPr>
            </w:pPr>
            <w:r>
              <w:rPr>
                <w:b/>
                <w:bCs/>
                <w:sz w:val="20"/>
                <w:szCs w:val="20"/>
              </w:rPr>
            </w:r>
          </w:p>
        </w:tc>
      </w:tr>
      <w:tr>
        <w:trPr>
          <w:trHeight w:val="2608" w:hRule="atLeast"/>
        </w:trPr>
        <w:tc>
          <w:tcPr>
            <w:tcW w:w="27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2"/>
              </w:numPr>
              <w:spacing w:before="0" w:after="0"/>
              <w:contextualSpacing/>
              <w:rPr>
                <w:rFonts w:eastAsia="Times New Roman"/>
                <w:b/>
                <w:b/>
                <w:bCs/>
                <w:sz w:val="20"/>
                <w:szCs w:val="20"/>
              </w:rPr>
            </w:pPr>
            <w:r>
              <w:rPr>
                <w:rFonts w:eastAsia="Times New Roman"/>
                <w:b/>
                <w:bCs/>
                <w:sz w:val="20"/>
                <w:szCs w:val="20"/>
              </w:rPr>
              <w:t>Advocate/work with education systems</w:t>
            </w:r>
          </w:p>
          <w:p>
            <w:pPr>
              <w:pStyle w:val="Normal"/>
              <w:rPr>
                <w:b/>
                <w:b/>
                <w:bCs/>
                <w:sz w:val="20"/>
                <w:szCs w:val="20"/>
              </w:rPr>
            </w:pPr>
            <w:r>
              <w:rPr>
                <w:b/>
                <w:bCs/>
                <w:sz w:val="20"/>
                <w:szCs w:val="20"/>
              </w:rPr>
            </w:r>
          </w:p>
        </w:tc>
        <w:tc>
          <w:tcPr>
            <w:tcW w:w="3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3"/>
              </w:numPr>
              <w:spacing w:before="0" w:after="0"/>
              <w:contextualSpacing/>
              <w:rPr>
                <w:rFonts w:eastAsia="Times New Roman"/>
                <w:sz w:val="20"/>
                <w:szCs w:val="20"/>
              </w:rPr>
            </w:pPr>
            <w:r>
              <w:rPr>
                <w:rFonts w:eastAsia="Times New Roman"/>
                <w:sz w:val="20"/>
                <w:szCs w:val="20"/>
              </w:rPr>
              <w:t xml:space="preserve">Effective multi-sector coordination </w:t>
            </w:r>
          </w:p>
          <w:p>
            <w:pPr>
              <w:pStyle w:val="ListParagraph"/>
              <w:numPr>
                <w:ilvl w:val="1"/>
                <w:numId w:val="43"/>
              </w:numPr>
              <w:spacing w:before="0" w:after="0"/>
              <w:contextualSpacing/>
              <w:rPr>
                <w:rFonts w:eastAsia="Times New Roman"/>
                <w:sz w:val="20"/>
                <w:szCs w:val="20"/>
              </w:rPr>
            </w:pPr>
            <w:r>
              <w:rPr>
                <w:rFonts w:eastAsia="Times New Roman"/>
                <w:sz w:val="20"/>
                <w:szCs w:val="20"/>
              </w:rPr>
              <w:t xml:space="preserve">Clear communications from national to local levels </w:t>
            </w:r>
          </w:p>
          <w:p>
            <w:pPr>
              <w:pStyle w:val="ListParagraph"/>
              <w:numPr>
                <w:ilvl w:val="1"/>
                <w:numId w:val="43"/>
              </w:numPr>
              <w:spacing w:before="0" w:after="0"/>
              <w:contextualSpacing/>
              <w:rPr>
                <w:rFonts w:eastAsia="Times New Roman"/>
                <w:sz w:val="20"/>
                <w:szCs w:val="20"/>
              </w:rPr>
            </w:pPr>
            <w:r>
              <w:rPr>
                <w:rFonts w:eastAsia="Times New Roman"/>
                <w:sz w:val="20"/>
                <w:szCs w:val="20"/>
              </w:rPr>
              <w:t xml:space="preserve">Ensure schools are not uses as shelters, treatment units, etc. </w:t>
            </w:r>
          </w:p>
          <w:p>
            <w:pPr>
              <w:pStyle w:val="ListParagraph"/>
              <w:numPr>
                <w:ilvl w:val="1"/>
                <w:numId w:val="43"/>
              </w:numPr>
              <w:spacing w:before="0" w:after="0"/>
              <w:contextualSpacing/>
              <w:rPr>
                <w:rFonts w:eastAsia="Times New Roman"/>
                <w:sz w:val="20"/>
                <w:szCs w:val="20"/>
              </w:rPr>
            </w:pPr>
            <w:r>
              <w:rPr>
                <w:rFonts w:eastAsia="Times New Roman"/>
                <w:sz w:val="20"/>
                <w:szCs w:val="20"/>
              </w:rPr>
              <w:t>Advocate for inclusion of education in operational preparedness (supply chain &amp; WASH links)</w:t>
            </w:r>
          </w:p>
          <w:p>
            <w:pPr>
              <w:pStyle w:val="ListParagraph"/>
              <w:numPr>
                <w:ilvl w:val="1"/>
                <w:numId w:val="43"/>
              </w:numPr>
              <w:spacing w:before="0" w:after="0"/>
              <w:contextualSpacing/>
              <w:rPr>
                <w:rFonts w:eastAsia="Times New Roman"/>
                <w:sz w:val="20"/>
                <w:szCs w:val="20"/>
              </w:rPr>
            </w:pPr>
            <w:r>
              <w:rPr>
                <w:rFonts w:eastAsia="Times New Roman"/>
                <w:sz w:val="20"/>
                <w:szCs w:val="20"/>
              </w:rPr>
              <w:t>Conduct stakeholder mapping to determine existing capacities and resources of stakeholders</w:t>
            </w:r>
          </w:p>
          <w:p>
            <w:pPr>
              <w:pStyle w:val="Normal"/>
              <w:rPr>
                <w:sz w:val="20"/>
                <w:szCs w:val="20"/>
              </w:rPr>
            </w:pPr>
            <w:r>
              <w:rPr>
                <w:sz w:val="20"/>
                <w:szCs w:val="20"/>
              </w:rPr>
            </w:r>
          </w:p>
        </w:tc>
        <w:tc>
          <w:tcPr>
            <w:tcW w:w="35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4"/>
              </w:numPr>
              <w:spacing w:before="0" w:after="0"/>
              <w:contextualSpacing/>
              <w:rPr>
                <w:rFonts w:eastAsia="Times New Roman"/>
                <w:sz w:val="20"/>
                <w:szCs w:val="20"/>
              </w:rPr>
            </w:pPr>
            <w:r>
              <w:rPr>
                <w:rFonts w:eastAsia="Times New Roman"/>
                <w:sz w:val="20"/>
                <w:szCs w:val="20"/>
              </w:rPr>
              <w:t xml:space="preserve">Effective multi-sector coordination </w:t>
            </w:r>
          </w:p>
          <w:p>
            <w:pPr>
              <w:pStyle w:val="ListParagraph"/>
              <w:numPr>
                <w:ilvl w:val="1"/>
                <w:numId w:val="44"/>
              </w:numPr>
              <w:spacing w:before="0" w:after="0"/>
              <w:contextualSpacing/>
              <w:rPr>
                <w:rFonts w:eastAsia="Times New Roman"/>
                <w:sz w:val="20"/>
                <w:szCs w:val="20"/>
              </w:rPr>
            </w:pPr>
            <w:r>
              <w:rPr>
                <w:rFonts w:eastAsia="Times New Roman"/>
                <w:sz w:val="20"/>
                <w:szCs w:val="20"/>
              </w:rPr>
              <w:t>Clear communications from national to local levels</w:t>
            </w:r>
          </w:p>
          <w:p>
            <w:pPr>
              <w:pStyle w:val="ListParagraph"/>
              <w:numPr>
                <w:ilvl w:val="1"/>
                <w:numId w:val="44"/>
              </w:numPr>
              <w:spacing w:before="0" w:after="0"/>
              <w:contextualSpacing/>
              <w:rPr>
                <w:rFonts w:eastAsia="Times New Roman"/>
                <w:sz w:val="20"/>
                <w:szCs w:val="20"/>
              </w:rPr>
            </w:pPr>
            <w:r>
              <w:rPr>
                <w:rFonts w:eastAsia="Times New Roman"/>
                <w:sz w:val="20"/>
                <w:szCs w:val="20"/>
              </w:rPr>
              <w:t xml:space="preserve">Ensure schools are not used as shelters, treatment units, etc. </w:t>
            </w:r>
          </w:p>
          <w:p>
            <w:pPr>
              <w:pStyle w:val="ListParagraph"/>
              <w:numPr>
                <w:ilvl w:val="1"/>
                <w:numId w:val="44"/>
              </w:numPr>
              <w:spacing w:before="0" w:after="0"/>
              <w:contextualSpacing/>
              <w:rPr>
                <w:rFonts w:eastAsia="Times New Roman"/>
                <w:sz w:val="20"/>
                <w:szCs w:val="20"/>
              </w:rPr>
            </w:pPr>
            <w:r>
              <w:rPr>
                <w:rFonts w:eastAsia="Times New Roman"/>
                <w:i/>
                <w:iCs/>
                <w:sz w:val="20"/>
                <w:szCs w:val="20"/>
              </w:rPr>
              <w:t>Advocate for education within supply and WASH planning</w:t>
            </w:r>
          </w:p>
          <w:p>
            <w:pPr>
              <w:pStyle w:val="ListParagraph"/>
              <w:numPr>
                <w:ilvl w:val="1"/>
                <w:numId w:val="44"/>
              </w:numPr>
              <w:spacing w:before="0" w:after="0"/>
              <w:contextualSpacing/>
              <w:rPr>
                <w:rFonts w:eastAsia="Times New Roman"/>
                <w:sz w:val="20"/>
                <w:szCs w:val="20"/>
              </w:rPr>
            </w:pPr>
            <w:r>
              <w:rPr>
                <w:rFonts w:eastAsia="Times New Roman"/>
                <w:sz w:val="20"/>
                <w:szCs w:val="20"/>
              </w:rPr>
              <w:t>Conduct stakeholder mapping to determine existing capacities and resources of stakeholders</w:t>
            </w:r>
          </w:p>
          <w:p>
            <w:pPr>
              <w:pStyle w:val="Normal"/>
              <w:rPr>
                <w:sz w:val="20"/>
                <w:szCs w:val="20"/>
              </w:rPr>
            </w:pPr>
            <w:r>
              <w:rPr>
                <w:sz w:val="20"/>
                <w:szCs w:val="20"/>
              </w:rPr>
            </w:r>
          </w:p>
        </w:tc>
      </w:tr>
      <w:tr>
        <w:trPr>
          <w:trHeight w:val="3022" w:hRule="atLeast"/>
        </w:trPr>
        <w:tc>
          <w:tcPr>
            <w:tcW w:w="27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2"/>
              </w:numPr>
              <w:spacing w:before="0" w:after="0"/>
              <w:contextualSpacing/>
              <w:rPr>
                <w:rFonts w:eastAsia="Times New Roman"/>
                <w:b/>
                <w:b/>
                <w:bCs/>
                <w:sz w:val="20"/>
                <w:szCs w:val="20"/>
              </w:rPr>
            </w:pPr>
            <w:r>
              <w:rPr>
                <w:rFonts w:eastAsia="Times New Roman"/>
                <w:b/>
                <w:bCs/>
                <w:sz w:val="20"/>
                <w:szCs w:val="20"/>
              </w:rPr>
              <w:t>Ensure Safe Operations</w:t>
            </w:r>
          </w:p>
          <w:p>
            <w:pPr>
              <w:pStyle w:val="ListParagraph"/>
              <w:rPr>
                <w:b/>
                <w:b/>
                <w:bCs/>
                <w:i/>
                <w:i/>
                <w:iCs/>
                <w:sz w:val="20"/>
                <w:szCs w:val="20"/>
              </w:rPr>
            </w:pPr>
            <w:r>
              <w:rPr>
                <w:b/>
                <w:bCs/>
                <w:i/>
                <w:iCs/>
                <w:sz w:val="20"/>
                <w:szCs w:val="20"/>
              </w:rPr>
              <w:t xml:space="preserve">Schools Open </w:t>
            </w:r>
          </w:p>
        </w:tc>
        <w:tc>
          <w:tcPr>
            <w:tcW w:w="3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5"/>
              </w:numPr>
              <w:spacing w:before="0" w:after="0"/>
              <w:contextualSpacing/>
              <w:rPr>
                <w:rFonts w:eastAsia="Times New Roman"/>
                <w:sz w:val="20"/>
                <w:szCs w:val="20"/>
              </w:rPr>
            </w:pPr>
            <w:r>
              <w:rPr>
                <w:rFonts w:eastAsia="Times New Roman"/>
                <w:sz w:val="20"/>
                <w:szCs w:val="20"/>
              </w:rPr>
              <w:t>Implement social distancing practices</w:t>
            </w:r>
          </w:p>
          <w:p>
            <w:pPr>
              <w:pStyle w:val="ListParagraph"/>
              <w:numPr>
                <w:ilvl w:val="1"/>
                <w:numId w:val="45"/>
              </w:numPr>
              <w:spacing w:before="0" w:after="0"/>
              <w:contextualSpacing/>
              <w:rPr>
                <w:rFonts w:eastAsia="Times New Roman"/>
                <w:sz w:val="20"/>
                <w:szCs w:val="20"/>
              </w:rPr>
            </w:pPr>
            <w:r>
              <w:rPr>
                <w:rFonts w:eastAsia="Times New Roman"/>
                <w:sz w:val="20"/>
                <w:szCs w:val="20"/>
              </w:rPr>
              <w:t>Reinforce handwashing and sanitation in schools &amp; communities</w:t>
            </w:r>
          </w:p>
          <w:p>
            <w:pPr>
              <w:pStyle w:val="ListParagraph"/>
              <w:numPr>
                <w:ilvl w:val="1"/>
                <w:numId w:val="45"/>
              </w:numPr>
              <w:spacing w:before="0" w:after="0"/>
              <w:contextualSpacing/>
              <w:rPr>
                <w:rFonts w:eastAsia="Times New Roman"/>
                <w:sz w:val="20"/>
                <w:szCs w:val="20"/>
              </w:rPr>
            </w:pPr>
            <w:r>
              <w:rPr>
                <w:rFonts w:eastAsia="Times New Roman"/>
                <w:sz w:val="20"/>
                <w:szCs w:val="20"/>
              </w:rPr>
              <w:t>Consider Teacher mgmt.</w:t>
            </w:r>
          </w:p>
          <w:p>
            <w:pPr>
              <w:pStyle w:val="ListParagraph"/>
              <w:ind w:left="450" w:hanging="0"/>
              <w:rPr>
                <w:sz w:val="20"/>
                <w:szCs w:val="20"/>
              </w:rPr>
            </w:pPr>
            <w:r>
              <w:rPr>
                <w:sz w:val="20"/>
                <w:szCs w:val="20"/>
              </w:rPr>
              <w:t>- Training, managing absenteeism/sick leave</w:t>
            </w:r>
          </w:p>
          <w:p>
            <w:pPr>
              <w:pStyle w:val="ListParagraph"/>
              <w:numPr>
                <w:ilvl w:val="1"/>
                <w:numId w:val="45"/>
              </w:numPr>
              <w:spacing w:before="0" w:after="0"/>
              <w:contextualSpacing/>
              <w:rPr>
                <w:rFonts w:eastAsia="Times New Roman"/>
                <w:i/>
                <w:i/>
                <w:iCs/>
                <w:sz w:val="20"/>
                <w:szCs w:val="20"/>
              </w:rPr>
            </w:pPr>
            <w:r>
              <w:rPr>
                <w:rFonts w:eastAsia="Times New Roman"/>
                <w:i/>
                <w:iCs/>
                <w:sz w:val="20"/>
                <w:szCs w:val="20"/>
              </w:rPr>
              <w:t>Revise state protocols</w:t>
            </w:r>
          </w:p>
          <w:p>
            <w:pPr>
              <w:pStyle w:val="ListParagraph"/>
              <w:numPr>
                <w:ilvl w:val="1"/>
                <w:numId w:val="45"/>
              </w:numPr>
              <w:spacing w:before="0" w:after="0"/>
              <w:contextualSpacing/>
              <w:rPr>
                <w:rFonts w:eastAsia="Times New Roman"/>
                <w:i/>
                <w:i/>
                <w:iCs/>
                <w:sz w:val="20"/>
                <w:szCs w:val="20"/>
              </w:rPr>
            </w:pPr>
            <w:r>
              <w:rPr>
                <w:rFonts w:eastAsia="Times New Roman"/>
                <w:i/>
                <w:iCs/>
                <w:sz w:val="20"/>
                <w:szCs w:val="20"/>
              </w:rPr>
              <w:t>Training &amp; support for school health workers</w:t>
            </w:r>
          </w:p>
          <w:p>
            <w:pPr>
              <w:pStyle w:val="ListParagraph"/>
              <w:ind w:left="450" w:hanging="0"/>
              <w:rPr>
                <w:sz w:val="20"/>
                <w:szCs w:val="20"/>
              </w:rPr>
            </w:pPr>
            <w:r>
              <w:rPr>
                <w:sz w:val="20"/>
                <w:szCs w:val="20"/>
              </w:rPr>
            </w:r>
          </w:p>
        </w:tc>
        <w:tc>
          <w:tcPr>
            <w:tcW w:w="35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5"/>
              </w:numPr>
              <w:spacing w:before="0" w:after="0"/>
              <w:contextualSpacing/>
              <w:rPr>
                <w:rFonts w:eastAsia="Times New Roman"/>
                <w:sz w:val="20"/>
                <w:szCs w:val="20"/>
              </w:rPr>
            </w:pPr>
            <w:r>
              <w:rPr>
                <w:rFonts w:eastAsia="Times New Roman"/>
                <w:sz w:val="20"/>
                <w:szCs w:val="20"/>
              </w:rPr>
              <w:t>Implement social distancing practices</w:t>
            </w:r>
          </w:p>
          <w:p>
            <w:pPr>
              <w:pStyle w:val="ListParagraph"/>
              <w:numPr>
                <w:ilvl w:val="1"/>
                <w:numId w:val="45"/>
              </w:numPr>
              <w:spacing w:before="0" w:after="0"/>
              <w:contextualSpacing/>
              <w:rPr>
                <w:rFonts w:eastAsia="Times New Roman"/>
                <w:sz w:val="20"/>
                <w:szCs w:val="20"/>
              </w:rPr>
            </w:pPr>
            <w:r>
              <w:rPr>
                <w:rFonts w:eastAsia="Times New Roman"/>
                <w:sz w:val="20"/>
                <w:szCs w:val="20"/>
              </w:rPr>
              <w:t>Reinforce handwashing and sanitation in schools &amp; communities</w:t>
            </w:r>
          </w:p>
          <w:p>
            <w:pPr>
              <w:pStyle w:val="ListParagraph"/>
              <w:numPr>
                <w:ilvl w:val="1"/>
                <w:numId w:val="45"/>
              </w:numPr>
              <w:spacing w:before="0" w:after="0"/>
              <w:contextualSpacing/>
              <w:rPr>
                <w:rFonts w:eastAsia="Times New Roman"/>
                <w:sz w:val="20"/>
                <w:szCs w:val="20"/>
              </w:rPr>
            </w:pPr>
            <w:r>
              <w:rPr>
                <w:rFonts w:eastAsia="Times New Roman"/>
                <w:sz w:val="20"/>
                <w:szCs w:val="20"/>
              </w:rPr>
              <w:t>Consider Teacher mgmt.</w:t>
            </w:r>
          </w:p>
          <w:p>
            <w:pPr>
              <w:pStyle w:val="ListParagraph"/>
              <w:ind w:left="450" w:hanging="0"/>
              <w:rPr>
                <w:sz w:val="20"/>
                <w:szCs w:val="20"/>
              </w:rPr>
            </w:pPr>
            <w:r>
              <w:rPr>
                <w:sz w:val="20"/>
                <w:szCs w:val="20"/>
              </w:rPr>
              <w:t>- Training, managing absenteeism/sick leave</w:t>
            </w:r>
          </w:p>
          <w:p>
            <w:pPr>
              <w:pStyle w:val="ListParagraph"/>
              <w:numPr>
                <w:ilvl w:val="1"/>
                <w:numId w:val="45"/>
              </w:numPr>
              <w:spacing w:before="0" w:after="0"/>
              <w:contextualSpacing/>
              <w:rPr>
                <w:rFonts w:eastAsia="Times New Roman"/>
                <w:i/>
                <w:i/>
                <w:iCs/>
                <w:sz w:val="20"/>
                <w:szCs w:val="20"/>
              </w:rPr>
            </w:pPr>
            <w:r>
              <w:rPr>
                <w:rFonts w:eastAsia="Times New Roman"/>
                <w:i/>
                <w:iCs/>
                <w:sz w:val="20"/>
                <w:szCs w:val="20"/>
              </w:rPr>
              <w:t>Develop safe school protocols</w:t>
            </w:r>
          </w:p>
          <w:p>
            <w:pPr>
              <w:pStyle w:val="ListParagraph"/>
              <w:numPr>
                <w:ilvl w:val="1"/>
                <w:numId w:val="45"/>
              </w:numPr>
              <w:spacing w:before="0" w:after="0"/>
              <w:contextualSpacing/>
              <w:rPr>
                <w:rFonts w:eastAsia="Times New Roman"/>
                <w:i/>
                <w:i/>
                <w:iCs/>
                <w:sz w:val="20"/>
                <w:szCs w:val="20"/>
              </w:rPr>
            </w:pPr>
            <w:r>
              <w:rPr>
                <w:rFonts w:eastAsia="Times New Roman"/>
                <w:i/>
                <w:iCs/>
                <w:sz w:val="20"/>
                <w:szCs w:val="20"/>
              </w:rPr>
              <w:t>Pre-position sanitation supplies</w:t>
            </w:r>
          </w:p>
          <w:p>
            <w:pPr>
              <w:pStyle w:val="ListParagraph"/>
              <w:numPr>
                <w:ilvl w:val="1"/>
                <w:numId w:val="45"/>
              </w:numPr>
              <w:spacing w:before="0" w:after="0"/>
              <w:contextualSpacing/>
              <w:rPr>
                <w:rFonts w:eastAsia="Times New Roman"/>
                <w:i/>
                <w:i/>
                <w:iCs/>
                <w:sz w:val="20"/>
                <w:szCs w:val="20"/>
              </w:rPr>
            </w:pPr>
            <w:r>
              <w:rPr>
                <w:rFonts w:eastAsia="Times New Roman"/>
                <w:i/>
                <w:iCs/>
                <w:sz w:val="20"/>
                <w:szCs w:val="20"/>
              </w:rPr>
              <w:t>Training and support for community health workers</w:t>
            </w:r>
          </w:p>
          <w:p>
            <w:pPr>
              <w:pStyle w:val="Normal"/>
              <w:ind w:left="90" w:hanging="0"/>
              <w:rPr>
                <w:i/>
                <w:i/>
                <w:iCs/>
                <w:sz w:val="20"/>
                <w:szCs w:val="20"/>
              </w:rPr>
            </w:pPr>
            <w:r>
              <w:rPr>
                <w:i/>
                <w:iCs/>
                <w:sz w:val="20"/>
                <w:szCs w:val="20"/>
              </w:rPr>
            </w:r>
          </w:p>
        </w:tc>
      </w:tr>
      <w:tr>
        <w:trPr>
          <w:trHeight w:val="2820" w:hRule="atLeast"/>
        </w:trPr>
        <w:tc>
          <w:tcPr>
            <w:tcW w:w="27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2"/>
              </w:numPr>
              <w:spacing w:before="0" w:after="0"/>
              <w:contextualSpacing/>
              <w:rPr>
                <w:rFonts w:eastAsia="Times New Roman"/>
                <w:b/>
                <w:b/>
                <w:bCs/>
                <w:sz w:val="20"/>
                <w:szCs w:val="20"/>
              </w:rPr>
            </w:pPr>
            <w:r>
              <w:rPr>
                <w:rFonts w:eastAsia="Times New Roman"/>
                <w:b/>
                <w:bCs/>
                <w:sz w:val="20"/>
                <w:szCs w:val="20"/>
              </w:rPr>
              <w:t>Ensure learning continuity</w:t>
            </w:r>
          </w:p>
          <w:p>
            <w:pPr>
              <w:pStyle w:val="ListParagraph"/>
              <w:rPr>
                <w:b/>
                <w:b/>
                <w:bCs/>
                <w:i/>
                <w:i/>
                <w:iCs/>
                <w:sz w:val="20"/>
                <w:szCs w:val="20"/>
              </w:rPr>
            </w:pPr>
            <w:r>
              <w:rPr>
                <w:b/>
                <w:bCs/>
                <w:i/>
                <w:iCs/>
                <w:sz w:val="20"/>
                <w:szCs w:val="20"/>
              </w:rPr>
              <w:t>Schools Closed</w:t>
            </w:r>
          </w:p>
          <w:p>
            <w:pPr>
              <w:pStyle w:val="Normal"/>
              <w:rPr>
                <w:b/>
                <w:b/>
                <w:bCs/>
                <w:sz w:val="20"/>
                <w:szCs w:val="20"/>
              </w:rPr>
            </w:pPr>
            <w:r>
              <w:rPr>
                <w:b/>
                <w:bCs/>
                <w:sz w:val="20"/>
                <w:szCs w:val="20"/>
              </w:rPr>
            </w:r>
          </w:p>
        </w:tc>
        <w:tc>
          <w:tcPr>
            <w:tcW w:w="3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5"/>
              </w:numPr>
              <w:spacing w:before="0" w:after="0"/>
              <w:contextualSpacing/>
              <w:rPr>
                <w:rFonts w:eastAsia="Times New Roman"/>
                <w:i/>
                <w:i/>
                <w:iCs/>
                <w:sz w:val="20"/>
                <w:szCs w:val="20"/>
              </w:rPr>
            </w:pPr>
            <w:r>
              <w:rPr>
                <w:rFonts w:eastAsia="Times New Roman"/>
                <w:i/>
                <w:iCs/>
                <w:sz w:val="20"/>
                <w:szCs w:val="20"/>
              </w:rPr>
              <w:t>Use of virtual/e-learning strategies</w:t>
            </w:r>
          </w:p>
          <w:p>
            <w:pPr>
              <w:pStyle w:val="Normal"/>
              <w:ind w:left="450" w:hanging="0"/>
              <w:rPr>
                <w:i/>
                <w:i/>
                <w:iCs/>
                <w:sz w:val="20"/>
                <w:szCs w:val="20"/>
              </w:rPr>
            </w:pPr>
            <w:r>
              <w:rPr>
                <w:i/>
                <w:iCs/>
                <w:sz w:val="20"/>
                <w:szCs w:val="20"/>
              </w:rPr>
              <w:t xml:space="preserve">- HQ can provide global curated content </w:t>
            </w:r>
          </w:p>
          <w:p>
            <w:pPr>
              <w:pStyle w:val="Normal"/>
              <w:rPr>
                <w:i/>
                <w:i/>
                <w:iCs/>
                <w:sz w:val="20"/>
                <w:szCs w:val="20"/>
              </w:rPr>
            </w:pPr>
            <w:r>
              <w:rPr>
                <w:i/>
                <w:iCs/>
                <w:sz w:val="20"/>
                <w:szCs w:val="20"/>
              </w:rPr>
              <w:t>        </w:t>
            </w:r>
            <w:r>
              <w:rPr>
                <w:i/>
                <w:iCs/>
                <w:sz w:val="20"/>
                <w:szCs w:val="20"/>
              </w:rPr>
              <w:t>- promoting SMS based platforms for monitoring    </w:t>
            </w:r>
          </w:p>
          <w:p>
            <w:pPr>
              <w:pStyle w:val="Normal"/>
              <w:rPr>
                <w:i/>
                <w:i/>
                <w:iCs/>
                <w:sz w:val="20"/>
                <w:szCs w:val="20"/>
              </w:rPr>
            </w:pPr>
            <w:r>
              <w:rPr>
                <w:i/>
                <w:iCs/>
                <w:sz w:val="20"/>
                <w:szCs w:val="20"/>
              </w:rPr>
              <w:t>          </w:t>
            </w:r>
            <w:r>
              <w:rPr>
                <w:i/>
                <w:iCs/>
                <w:sz w:val="20"/>
                <w:szCs w:val="20"/>
              </w:rPr>
              <w:t xml:space="preserve">remote learning </w:t>
            </w:r>
          </w:p>
          <w:p>
            <w:pPr>
              <w:pStyle w:val="ListParagraph"/>
              <w:numPr>
                <w:ilvl w:val="1"/>
                <w:numId w:val="45"/>
              </w:numPr>
              <w:spacing w:before="0" w:after="0"/>
              <w:contextualSpacing/>
              <w:rPr>
                <w:rFonts w:eastAsia="Times New Roman"/>
                <w:i/>
                <w:i/>
                <w:iCs/>
                <w:sz w:val="20"/>
                <w:szCs w:val="20"/>
              </w:rPr>
            </w:pPr>
            <w:r>
              <w:rPr>
                <w:rFonts w:eastAsia="Times New Roman"/>
                <w:i/>
                <w:iCs/>
                <w:sz w:val="20"/>
                <w:szCs w:val="20"/>
              </w:rPr>
              <w:t>Use of home study for short term closures (assigning reading and exercises)</w:t>
            </w:r>
          </w:p>
          <w:p>
            <w:pPr>
              <w:pStyle w:val="ListParagraph"/>
              <w:numPr>
                <w:ilvl w:val="1"/>
                <w:numId w:val="45"/>
              </w:numPr>
              <w:spacing w:before="0" w:after="0"/>
              <w:contextualSpacing/>
              <w:rPr>
                <w:rFonts w:eastAsia="Times New Roman"/>
                <w:sz w:val="20"/>
                <w:szCs w:val="20"/>
              </w:rPr>
            </w:pPr>
            <w:r>
              <w:rPr>
                <w:rFonts w:eastAsia="Times New Roman"/>
                <w:sz w:val="20"/>
                <w:szCs w:val="20"/>
              </w:rPr>
              <w:t>Consider teacher/facilitator mgmt.</w:t>
            </w:r>
          </w:p>
          <w:p>
            <w:pPr>
              <w:pStyle w:val="ListParagraph"/>
              <w:ind w:left="450" w:hanging="0"/>
              <w:rPr>
                <w:sz w:val="20"/>
                <w:szCs w:val="20"/>
              </w:rPr>
            </w:pPr>
            <w:r>
              <w:rPr>
                <w:sz w:val="20"/>
                <w:szCs w:val="20"/>
              </w:rPr>
              <w:t>- Compensation and support</w:t>
            </w:r>
          </w:p>
          <w:p>
            <w:pPr>
              <w:pStyle w:val="ListParagraph"/>
              <w:ind w:left="450" w:hanging="0"/>
              <w:rPr>
                <w:sz w:val="20"/>
                <w:szCs w:val="20"/>
              </w:rPr>
            </w:pPr>
            <w:r>
              <w:rPr>
                <w:sz w:val="20"/>
                <w:szCs w:val="20"/>
              </w:rPr>
            </w:r>
          </w:p>
        </w:tc>
        <w:tc>
          <w:tcPr>
            <w:tcW w:w="35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5"/>
              </w:numPr>
              <w:spacing w:before="0" w:after="0"/>
              <w:contextualSpacing/>
              <w:rPr>
                <w:rFonts w:eastAsia="Times New Roman"/>
                <w:i/>
                <w:i/>
                <w:iCs/>
                <w:sz w:val="20"/>
                <w:szCs w:val="20"/>
              </w:rPr>
            </w:pPr>
            <w:r>
              <w:rPr>
                <w:rFonts w:eastAsia="Times New Roman"/>
                <w:i/>
                <w:iCs/>
                <w:sz w:val="20"/>
                <w:szCs w:val="20"/>
              </w:rPr>
              <w:t>Use of school broadcasting systems (radio/tv)</w:t>
            </w:r>
          </w:p>
          <w:p>
            <w:pPr>
              <w:pStyle w:val="ListParagraph"/>
              <w:ind w:left="450" w:hanging="0"/>
              <w:rPr>
                <w:i/>
                <w:i/>
                <w:iCs/>
                <w:sz w:val="20"/>
                <w:szCs w:val="20"/>
              </w:rPr>
            </w:pPr>
            <w:r>
              <w:rPr>
                <w:i/>
                <w:iCs/>
                <w:sz w:val="20"/>
                <w:szCs w:val="20"/>
              </w:rPr>
              <w:t>- ROs can provide examples of radio and TV broadcast programming</w:t>
            </w:r>
          </w:p>
          <w:p>
            <w:pPr>
              <w:pStyle w:val="ListParagraph"/>
              <w:numPr>
                <w:ilvl w:val="1"/>
                <w:numId w:val="45"/>
              </w:numPr>
              <w:spacing w:before="0" w:after="0"/>
              <w:contextualSpacing/>
              <w:rPr>
                <w:rFonts w:eastAsia="Times New Roman"/>
                <w:i/>
                <w:i/>
                <w:iCs/>
                <w:sz w:val="20"/>
                <w:szCs w:val="20"/>
              </w:rPr>
            </w:pPr>
            <w:r>
              <w:rPr>
                <w:rFonts w:eastAsia="Times New Roman"/>
                <w:i/>
                <w:iCs/>
                <w:sz w:val="20"/>
                <w:szCs w:val="20"/>
              </w:rPr>
              <w:t>Use of home-based schooling</w:t>
            </w:r>
          </w:p>
          <w:p>
            <w:pPr>
              <w:pStyle w:val="Normal"/>
              <w:ind w:left="450" w:hanging="0"/>
              <w:rPr>
                <w:i/>
                <w:i/>
                <w:iCs/>
                <w:sz w:val="20"/>
                <w:szCs w:val="20"/>
              </w:rPr>
            </w:pPr>
            <w:r>
              <w:rPr>
                <w:i/>
                <w:iCs/>
                <w:sz w:val="20"/>
                <w:szCs w:val="20"/>
              </w:rPr>
              <w:t>- Can provide examples from WCARO and ROSA</w:t>
            </w:r>
          </w:p>
          <w:p>
            <w:pPr>
              <w:pStyle w:val="ListParagraph"/>
              <w:numPr>
                <w:ilvl w:val="1"/>
                <w:numId w:val="45"/>
              </w:numPr>
              <w:spacing w:before="0" w:after="0"/>
              <w:contextualSpacing/>
              <w:rPr>
                <w:rFonts w:eastAsia="Times New Roman"/>
                <w:sz w:val="20"/>
                <w:szCs w:val="20"/>
              </w:rPr>
            </w:pPr>
            <w:r>
              <w:rPr>
                <w:rFonts w:eastAsia="Times New Roman"/>
                <w:sz w:val="20"/>
                <w:szCs w:val="20"/>
              </w:rPr>
              <w:t>Consider teacher/facilitator mgmt.</w:t>
            </w:r>
          </w:p>
          <w:p>
            <w:pPr>
              <w:pStyle w:val="ListParagraph"/>
              <w:ind w:left="450" w:hanging="0"/>
              <w:rPr>
                <w:sz w:val="20"/>
                <w:szCs w:val="20"/>
              </w:rPr>
            </w:pPr>
            <w:r>
              <w:rPr>
                <w:sz w:val="20"/>
                <w:szCs w:val="20"/>
              </w:rPr>
              <w:t>- Compensation and support</w:t>
            </w:r>
          </w:p>
          <w:p>
            <w:pPr>
              <w:pStyle w:val="ListParagraph"/>
              <w:ind w:left="450" w:hanging="0"/>
              <w:rPr>
                <w:sz w:val="20"/>
                <w:szCs w:val="20"/>
              </w:rPr>
            </w:pPr>
            <w:r>
              <w:rPr>
                <w:sz w:val="20"/>
                <w:szCs w:val="20"/>
              </w:rPr>
            </w:r>
          </w:p>
        </w:tc>
      </w:tr>
      <w:tr>
        <w:trPr>
          <w:trHeight w:val="1519" w:hRule="atLeast"/>
        </w:trPr>
        <w:tc>
          <w:tcPr>
            <w:tcW w:w="27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2"/>
              </w:numPr>
              <w:spacing w:before="0" w:after="0"/>
              <w:contextualSpacing/>
              <w:rPr>
                <w:rFonts w:eastAsia="Times New Roman"/>
                <w:b/>
                <w:b/>
                <w:bCs/>
                <w:sz w:val="20"/>
                <w:szCs w:val="20"/>
              </w:rPr>
            </w:pPr>
            <w:r>
              <w:rPr>
                <w:rFonts w:eastAsia="Times New Roman"/>
                <w:b/>
                <w:bCs/>
                <w:sz w:val="20"/>
                <w:szCs w:val="20"/>
              </w:rPr>
              <w:t>Contingency Planning</w:t>
            </w:r>
          </w:p>
        </w:tc>
        <w:tc>
          <w:tcPr>
            <w:tcW w:w="3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5"/>
              </w:numPr>
              <w:spacing w:before="0" w:after="0"/>
              <w:contextualSpacing/>
              <w:rPr>
                <w:rFonts w:eastAsia="Times New Roman"/>
                <w:sz w:val="20"/>
                <w:szCs w:val="20"/>
              </w:rPr>
            </w:pPr>
            <w:r>
              <w:rPr>
                <w:rFonts w:eastAsia="Times New Roman"/>
                <w:sz w:val="20"/>
                <w:szCs w:val="20"/>
              </w:rPr>
              <w:t>Plan for academic calendar changes, particularly in relation to breaks and exams</w:t>
            </w:r>
          </w:p>
          <w:p>
            <w:pPr>
              <w:pStyle w:val="ListParagraph"/>
              <w:numPr>
                <w:ilvl w:val="1"/>
                <w:numId w:val="45"/>
              </w:numPr>
              <w:spacing w:before="0" w:after="0"/>
              <w:contextualSpacing/>
              <w:rPr>
                <w:rFonts w:eastAsia="Times New Roman"/>
                <w:sz w:val="20"/>
                <w:szCs w:val="20"/>
              </w:rPr>
            </w:pPr>
            <w:r>
              <w:rPr>
                <w:rFonts w:eastAsia="Times New Roman"/>
                <w:sz w:val="20"/>
                <w:szCs w:val="20"/>
              </w:rPr>
              <w:t>Review/develop accelerated education strategies</w:t>
            </w:r>
          </w:p>
          <w:p>
            <w:pPr>
              <w:pStyle w:val="Normal"/>
              <w:rPr>
                <w:sz w:val="20"/>
                <w:szCs w:val="20"/>
              </w:rPr>
            </w:pPr>
            <w:r>
              <w:rPr>
                <w:sz w:val="20"/>
                <w:szCs w:val="20"/>
              </w:rPr>
            </w:r>
          </w:p>
        </w:tc>
        <w:tc>
          <w:tcPr>
            <w:tcW w:w="35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5"/>
              </w:numPr>
              <w:spacing w:before="0" w:after="0"/>
              <w:contextualSpacing/>
              <w:rPr>
                <w:rFonts w:eastAsia="Times New Roman"/>
                <w:sz w:val="20"/>
                <w:szCs w:val="20"/>
              </w:rPr>
            </w:pPr>
            <w:r>
              <w:rPr>
                <w:rFonts w:eastAsia="Times New Roman"/>
                <w:sz w:val="20"/>
                <w:szCs w:val="20"/>
              </w:rPr>
              <w:t>Plan for academic calendar changes, particularly in relation to breaks and exams</w:t>
            </w:r>
          </w:p>
          <w:p>
            <w:pPr>
              <w:pStyle w:val="ListParagraph"/>
              <w:numPr>
                <w:ilvl w:val="1"/>
                <w:numId w:val="45"/>
              </w:numPr>
              <w:spacing w:before="0" w:after="0"/>
              <w:contextualSpacing/>
              <w:rPr>
                <w:rFonts w:eastAsia="Times New Roman"/>
                <w:sz w:val="20"/>
                <w:szCs w:val="20"/>
              </w:rPr>
            </w:pPr>
            <w:r>
              <w:rPr>
                <w:rFonts w:eastAsia="Times New Roman"/>
                <w:sz w:val="20"/>
                <w:szCs w:val="20"/>
              </w:rPr>
              <w:t>Review/develop accelerated education strategies</w:t>
            </w:r>
          </w:p>
          <w:p>
            <w:pPr>
              <w:pStyle w:val="Normal"/>
              <w:rPr>
                <w:sz w:val="20"/>
                <w:szCs w:val="20"/>
              </w:rPr>
            </w:pPr>
            <w:r>
              <w:rPr>
                <w:sz w:val="20"/>
                <w:szCs w:val="20"/>
              </w:rPr>
            </w:r>
          </w:p>
        </w:tc>
      </w:tr>
      <w:tr>
        <w:trPr>
          <w:trHeight w:val="1734" w:hRule="atLeast"/>
        </w:trPr>
        <w:tc>
          <w:tcPr>
            <w:tcW w:w="27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2"/>
              </w:numPr>
              <w:spacing w:before="0" w:after="0"/>
              <w:contextualSpacing/>
              <w:rPr>
                <w:rFonts w:eastAsia="Times New Roman"/>
                <w:b/>
                <w:b/>
                <w:bCs/>
                <w:sz w:val="20"/>
                <w:szCs w:val="20"/>
              </w:rPr>
            </w:pPr>
            <w:r>
              <w:rPr>
                <w:rFonts w:eastAsia="Times New Roman"/>
                <w:b/>
                <w:bCs/>
                <w:sz w:val="20"/>
                <w:szCs w:val="20"/>
              </w:rPr>
              <w:t>Systems Strengthening</w:t>
            </w:r>
          </w:p>
        </w:tc>
        <w:tc>
          <w:tcPr>
            <w:tcW w:w="3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5"/>
              </w:numPr>
              <w:spacing w:before="0" w:after="0"/>
              <w:contextualSpacing/>
              <w:rPr>
                <w:rFonts w:eastAsia="Times New Roman"/>
                <w:sz w:val="20"/>
                <w:szCs w:val="20"/>
              </w:rPr>
            </w:pPr>
            <w:r>
              <w:rPr>
                <w:rFonts w:eastAsia="Times New Roman"/>
                <w:sz w:val="20"/>
                <w:szCs w:val="20"/>
              </w:rPr>
              <w:t>Strengthen health education, including skills based health education</w:t>
            </w:r>
          </w:p>
          <w:p>
            <w:pPr>
              <w:pStyle w:val="ListParagraph"/>
              <w:numPr>
                <w:ilvl w:val="1"/>
                <w:numId w:val="45"/>
              </w:numPr>
              <w:spacing w:before="0" w:after="0"/>
              <w:contextualSpacing/>
              <w:rPr>
                <w:rFonts w:eastAsia="Times New Roman"/>
                <w:sz w:val="20"/>
                <w:szCs w:val="20"/>
              </w:rPr>
            </w:pPr>
            <w:r>
              <w:rPr>
                <w:rFonts w:eastAsia="Times New Roman"/>
                <w:sz w:val="20"/>
                <w:szCs w:val="20"/>
              </w:rPr>
              <w:t>Develop long term-term, costed, education sector contingency plans and protocols for epidemics</w:t>
            </w:r>
          </w:p>
          <w:p>
            <w:pPr>
              <w:pStyle w:val="ListParagraph"/>
              <w:ind w:left="450" w:hanging="0"/>
              <w:rPr>
                <w:sz w:val="20"/>
                <w:szCs w:val="20"/>
              </w:rPr>
            </w:pPr>
            <w:r>
              <w:rPr>
                <w:sz w:val="20"/>
                <w:szCs w:val="20"/>
              </w:rPr>
            </w:r>
          </w:p>
        </w:tc>
        <w:tc>
          <w:tcPr>
            <w:tcW w:w="35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5"/>
              </w:numPr>
              <w:spacing w:before="0" w:after="0"/>
              <w:contextualSpacing/>
              <w:rPr>
                <w:rFonts w:eastAsia="Times New Roman"/>
                <w:sz w:val="20"/>
                <w:szCs w:val="20"/>
              </w:rPr>
            </w:pPr>
            <w:r>
              <w:rPr>
                <w:rFonts w:eastAsia="Times New Roman"/>
                <w:sz w:val="20"/>
                <w:szCs w:val="20"/>
              </w:rPr>
              <w:t>Strengthen health education, including skills based health education</w:t>
            </w:r>
          </w:p>
          <w:p>
            <w:pPr>
              <w:pStyle w:val="ListParagraph"/>
              <w:numPr>
                <w:ilvl w:val="1"/>
                <w:numId w:val="45"/>
              </w:numPr>
              <w:spacing w:before="0" w:after="0"/>
              <w:contextualSpacing/>
              <w:rPr>
                <w:rFonts w:eastAsia="Times New Roman"/>
                <w:sz w:val="20"/>
                <w:szCs w:val="20"/>
              </w:rPr>
            </w:pPr>
            <w:r>
              <w:rPr>
                <w:rFonts w:eastAsia="Times New Roman"/>
                <w:sz w:val="20"/>
                <w:szCs w:val="20"/>
              </w:rPr>
              <w:t>Develop long term-term, costed, education sector contingency plans and protocols for epidemics</w:t>
            </w:r>
          </w:p>
          <w:p>
            <w:pPr>
              <w:pStyle w:val="ListParagraph"/>
              <w:ind w:left="450" w:hanging="0"/>
              <w:rPr>
                <w:sz w:val="20"/>
                <w:szCs w:val="20"/>
              </w:rPr>
            </w:pPr>
            <w:r>
              <w:rPr>
                <w:sz w:val="20"/>
                <w:szCs w:val="20"/>
              </w:rPr>
            </w:r>
          </w:p>
        </w:tc>
      </w:tr>
    </w:tbl>
    <w:p>
      <w:pPr>
        <w:pStyle w:val="Normal"/>
        <w:rPr/>
      </w:pPr>
      <w:r>
        <w:rPr/>
      </w:r>
    </w:p>
    <w:sectPr>
      <w:footnotePr>
        <w:numFmt w:val="decimal"/>
      </w:footnotePr>
      <w:type w:val="nextPage"/>
      <w:pgSz w:w="11906" w:h="16838"/>
      <w:pgMar w:left="1170" w:right="1016" w:header="0" w:top="90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orbe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 w:name="Calibri">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jc w:val="both"/>
        <w:rPr>
          <w:rFonts w:cs="Calibri" w:cstheme="minorHAnsi"/>
          <w:b/>
          <w:b/>
          <w:bCs/>
          <w:i/>
          <w:i/>
          <w:iCs/>
          <w:sz w:val="20"/>
          <w:szCs w:val="20"/>
          <w:u w:val="single"/>
        </w:rPr>
      </w:pPr>
      <w:r>
        <w:rPr>
          <w:rStyle w:val="FootnoteCharacters"/>
        </w:rPr>
        <w:footnoteRef/>
      </w:r>
      <w:r>
        <w:rPr>
          <w:rStyle w:val="FootnoteCharacters"/>
        </w:rPr>
        <w:tab/>
      </w:r>
      <w:r>
        <w:rPr>
          <w:rStyle w:val="FootnoteCharacters"/>
        </w:rPr>
        <w:tab/>
      </w:r>
      <w:r>
        <w:rPr/>
        <w:t xml:space="preserve"> </w:t>
      </w:r>
      <w:r>
        <w:rPr>
          <w:rFonts w:cs="Calibri" w:cstheme="minorHAnsi"/>
          <w:bCs/>
          <w:i/>
          <w:iCs/>
          <w:sz w:val="18"/>
          <w:szCs w:val="18"/>
        </w:rPr>
        <w:t>This note will be updated regularly as new information about 2019-nCoV becomes available.</w:t>
      </w:r>
    </w:p>
    <w:p>
      <w:pPr>
        <w:pStyle w:val="Footnote"/>
        <w:rPr/>
      </w:pPr>
      <w:r>
        <w:rPr/>
      </w:r>
    </w:p>
  </w:footnote>
  <w:footnote w:id="3">
    <w:p>
      <w:pPr>
        <w:pStyle w:val="Footnote"/>
        <w:rPr/>
      </w:pPr>
      <w:r>
        <w:rPr>
          <w:rStyle w:val="FootnoteCharacters"/>
        </w:rPr>
        <w:footnoteRef/>
      </w:r>
      <w:r>
        <w:rPr>
          <w:rStyle w:val="FootnoteCharacters"/>
        </w:rPr>
        <w:tab/>
      </w:r>
      <w:r>
        <w:rPr>
          <w:rStyle w:val="FootnoteCharacters"/>
          <w:sz w:val="18"/>
        </w:rPr>
        <w:tab/>
      </w:r>
      <w:r>
        <w:rPr>
          <w:sz w:val="18"/>
        </w:rPr>
        <w:t xml:space="preserve"> The priority list will be included in this guideline and shared with ROs once made shared by WHO.</w:t>
      </w:r>
    </w:p>
  </w:footnote>
  <w:footnote w:id="4">
    <w:p>
      <w:pPr>
        <w:pStyle w:val="Footnote"/>
        <w:rPr/>
      </w:pPr>
      <w:r>
        <w:rPr>
          <w:rStyle w:val="FootnoteCharacters"/>
        </w:rPr>
        <w:footnoteRef/>
      </w:r>
      <w:r>
        <w:rPr>
          <w:rStyle w:val="FootnoteCharacters"/>
        </w:rPr>
        <w:tab/>
      </w:r>
      <w:r>
        <w:rPr>
          <w:rFonts w:cs="Calibri" w:cstheme="minorHAnsi"/>
          <w:sz w:val="18"/>
          <w:szCs w:val="18"/>
          <w:vertAlign w:val="superscript"/>
        </w:rPr>
        <w:tab/>
      </w:r>
      <w:r>
        <w:rPr>
          <w:rFonts w:cs="Calibri" w:cstheme="minorHAnsi"/>
          <w:sz w:val="18"/>
          <w:szCs w:val="18"/>
        </w:rPr>
        <w:t xml:space="preserve"> These challenges may include other existing disease outbreaks, forced displacements, natural disasters, collapsed health services due to conflict etc.</w:t>
      </w:r>
    </w:p>
  </w:footnote>
  <w:footnote w:id="5">
    <w:p>
      <w:pPr>
        <w:pStyle w:val="Footnote"/>
        <w:rPr/>
      </w:pPr>
      <w:r>
        <w:rPr>
          <w:rStyle w:val="FootnoteCharacters"/>
        </w:rPr>
        <w:footnoteRef/>
      </w:r>
      <w:r>
        <w:rPr>
          <w:rStyle w:val="FootnoteCharacters"/>
        </w:rPr>
        <w:tab/>
      </w:r>
      <w:r>
        <w:rPr>
          <w:rStyle w:val="FootnoteCharacters"/>
          <w:sz w:val="16"/>
          <w:szCs w:val="16"/>
        </w:rPr>
        <w:tab/>
      </w:r>
      <w:r>
        <w:rPr>
          <w:sz w:val="16"/>
          <w:szCs w:val="16"/>
        </w:rPr>
        <w:t xml:space="preserve"> </w:t>
      </w:r>
      <w:r>
        <w:rPr>
          <w:rFonts w:cs="Helvetica"/>
          <w:sz w:val="16"/>
          <w:szCs w:val="16"/>
        </w:rPr>
        <w:t>Allows partners to divert and utilize non-emergency resources for immediate response that are later covered by emergency funds when they become available</w:t>
      </w:r>
    </w:p>
  </w:footnote>
  <w:footnote w:id="6">
    <w:p>
      <w:pPr>
        <w:pStyle w:val="Footnote"/>
        <w:rPr/>
      </w:pPr>
      <w:r>
        <w:rPr>
          <w:rStyle w:val="FootnoteCharacters"/>
        </w:rPr>
        <w:footnoteRef/>
      </w:r>
      <w:r>
        <w:rPr>
          <w:rStyle w:val="FootnoteCharacters"/>
        </w:rPr>
        <w:tab/>
      </w:r>
      <w:r>
        <w:rPr>
          <w:rStyle w:val="FootnoteCharacters"/>
          <w:sz w:val="16"/>
          <w:szCs w:val="16"/>
        </w:rPr>
        <w:tab/>
      </w:r>
      <w:r>
        <w:rPr>
          <w:sz w:val="16"/>
          <w:szCs w:val="16"/>
        </w:rPr>
        <w:t xml:space="preserve"> </w:t>
      </w:r>
      <w:r>
        <w:rPr>
          <w:rFonts w:cs="Helvetica"/>
          <w:sz w:val="16"/>
          <w:szCs w:val="16"/>
        </w:rPr>
        <w:t>Pre-defined dormant PCAs to be activated upon mutual agreement between UNICEF and the partner when an emergency is declared</w:t>
      </w:r>
    </w:p>
  </w:footnote>
  <w:footnote w:id="7">
    <w:p>
      <w:pPr>
        <w:pStyle w:val="Footnote"/>
        <w:rPr/>
      </w:pPr>
      <w:r>
        <w:rPr>
          <w:rStyle w:val="FootnoteCharacters"/>
        </w:rPr>
        <w:footnoteRef/>
      </w:r>
      <w:r>
        <w:rPr>
          <w:rStyle w:val="FootnoteCharacters"/>
        </w:rPr>
        <w:tab/>
      </w:r>
      <w:r>
        <w:rPr>
          <w:rStyle w:val="FootnoteCharacters"/>
          <w:sz w:val="16"/>
          <w:szCs w:val="16"/>
        </w:rPr>
        <w:tab/>
      </w:r>
      <w:r>
        <w:rPr>
          <w:sz w:val="16"/>
          <w:szCs w:val="16"/>
        </w:rPr>
        <w:t xml:space="preserve"> Other options include SSFA (Small Scale Funding Agreement), Special Service Agreement (SSA). Note there are simplified procedures for Level 2 and 3 Emergencies. Refer to </w:t>
      </w:r>
      <w:hyperlink r:id="rId1">
        <w:r>
          <w:rPr>
            <w:rStyle w:val="Hipervnculo1"/>
            <w:sz w:val="16"/>
            <w:szCs w:val="16"/>
          </w:rPr>
          <w:t>UNICEF Simplified Procedures in Emergencies</w:t>
        </w:r>
      </w:hyperlink>
      <w:r>
        <w:rPr>
          <w:sz w:val="16"/>
          <w:szCs w:val="16"/>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0"/>
        </w:tabs>
        <w:ind w:left="3600" w:hanging="360"/>
      </w:pPr>
      <w:rPr>
        <w:rFonts w:ascii="Wingdings" w:hAnsi="Wingdings" w:cs="Wingdings" w:hint="default"/>
        <w:sz w:val="20"/>
        <w:b/>
        <w:rFonts w:cs="Wingdings"/>
      </w:rPr>
    </w:lvl>
    <w:lvl w:ilvl="1">
      <w:start w:val="1"/>
      <w:numFmt w:val="bullet"/>
      <w:lvlText w:val=""/>
      <w:lvlJc w:val="left"/>
      <w:pPr>
        <w:tabs>
          <w:tab w:val="num" w:pos="4320"/>
        </w:tabs>
        <w:ind w:left="4320" w:hanging="360"/>
      </w:pPr>
      <w:rPr>
        <w:rFonts w:ascii="Symbol" w:hAnsi="Symbol" w:cs="Symbol" w:hint="default"/>
        <w:sz w:val="20"/>
        <w:rFonts w:cs="Symbol"/>
      </w:rPr>
    </w:lvl>
    <w:lvl w:ilvl="2">
      <w:start w:val="1"/>
      <w:numFmt w:val="bullet"/>
      <w:lvlText w:val=""/>
      <w:lvlJc w:val="left"/>
      <w:pPr>
        <w:tabs>
          <w:tab w:val="num" w:pos="5040"/>
        </w:tabs>
        <w:ind w:left="5040" w:hanging="360"/>
      </w:pPr>
      <w:rPr>
        <w:rFonts w:ascii="Wingdings" w:hAnsi="Wingdings" w:cs="Wingdings" w:hint="default"/>
        <w:sz w:val="20"/>
        <w:rFonts w:cs="Wingdings"/>
      </w:rPr>
    </w:lvl>
    <w:lvl w:ilvl="3">
      <w:start w:val="1"/>
      <w:numFmt w:val="bullet"/>
      <w:lvlText w:val=""/>
      <w:lvlJc w:val="left"/>
      <w:pPr>
        <w:tabs>
          <w:tab w:val="num" w:pos="5760"/>
        </w:tabs>
        <w:ind w:left="5760" w:hanging="360"/>
      </w:pPr>
      <w:rPr>
        <w:rFonts w:ascii="Wingdings" w:hAnsi="Wingdings" w:cs="Wingdings" w:hint="default"/>
        <w:sz w:val="20"/>
        <w:rFonts w:cs="Wingdings"/>
      </w:rPr>
    </w:lvl>
    <w:lvl w:ilvl="4">
      <w:start w:val="1"/>
      <w:numFmt w:val="bullet"/>
      <w:lvlText w:val=""/>
      <w:lvlJc w:val="left"/>
      <w:pPr>
        <w:tabs>
          <w:tab w:val="num" w:pos="6480"/>
        </w:tabs>
        <w:ind w:left="6480" w:hanging="360"/>
      </w:pPr>
      <w:rPr>
        <w:rFonts w:ascii="Wingdings" w:hAnsi="Wingdings" w:cs="Wingdings" w:hint="default"/>
        <w:sz w:val="20"/>
        <w:rFonts w:cs="Wingdings"/>
      </w:rPr>
    </w:lvl>
    <w:lvl w:ilvl="5">
      <w:start w:val="1"/>
      <w:numFmt w:val="bullet"/>
      <w:lvlText w:val=""/>
      <w:lvlJc w:val="left"/>
      <w:pPr>
        <w:tabs>
          <w:tab w:val="num" w:pos="7200"/>
        </w:tabs>
        <w:ind w:left="7200" w:hanging="360"/>
      </w:pPr>
      <w:rPr>
        <w:rFonts w:ascii="Wingdings" w:hAnsi="Wingdings" w:cs="Wingdings" w:hint="default"/>
        <w:sz w:val="20"/>
        <w:rFonts w:cs="Wingdings"/>
      </w:rPr>
    </w:lvl>
    <w:lvl w:ilvl="6">
      <w:start w:val="1"/>
      <w:numFmt w:val="bullet"/>
      <w:lvlText w:val=""/>
      <w:lvlJc w:val="left"/>
      <w:pPr>
        <w:tabs>
          <w:tab w:val="num" w:pos="7920"/>
        </w:tabs>
        <w:ind w:left="7920" w:hanging="360"/>
      </w:pPr>
      <w:rPr>
        <w:rFonts w:ascii="Wingdings" w:hAnsi="Wingdings" w:cs="Wingdings" w:hint="default"/>
        <w:sz w:val="20"/>
        <w:rFonts w:cs="Wingdings"/>
      </w:rPr>
    </w:lvl>
    <w:lvl w:ilvl="7">
      <w:start w:val="1"/>
      <w:numFmt w:val="bullet"/>
      <w:lvlText w:val=""/>
      <w:lvlJc w:val="left"/>
      <w:pPr>
        <w:tabs>
          <w:tab w:val="num" w:pos="8640"/>
        </w:tabs>
        <w:ind w:left="8640" w:hanging="360"/>
      </w:pPr>
      <w:rPr>
        <w:rFonts w:ascii="Wingdings" w:hAnsi="Wingdings" w:cs="Wingdings" w:hint="default"/>
        <w:sz w:val="20"/>
        <w:rFonts w:cs="Wingdings"/>
      </w:rPr>
    </w:lvl>
    <w:lvl w:ilvl="8">
      <w:start w:val="1"/>
      <w:numFmt w:val="bullet"/>
      <w:lvlText w:val=""/>
      <w:lvlJc w:val="left"/>
      <w:pPr>
        <w:tabs>
          <w:tab w:val="num" w:pos="9360"/>
        </w:tabs>
        <w:ind w:left="9360" w:hanging="360"/>
      </w:pPr>
      <w:rPr>
        <w:rFonts w:ascii="Wingdings" w:hAnsi="Wingdings" w:cs="Wingdings" w:hint="default"/>
        <w:sz w:val="20"/>
        <w:rFonts w:cs="Wingdings"/>
      </w:rPr>
    </w:lvl>
  </w:abstractNum>
  <w:abstractNum w:abstractNumId="2">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sz w:val="20"/>
        <w:b/>
        <w:rFonts w:cs="Courier New"/>
      </w:rPr>
    </w:lvl>
    <w:lvl w:ilvl="2">
      <w:start w:val="1"/>
      <w:numFmt w:val="bullet"/>
      <w:lvlText w:val=""/>
      <w:lvlJc w:val="left"/>
      <w:pPr>
        <w:ind w:left="2160" w:hanging="360"/>
      </w:pPr>
      <w:rPr>
        <w:rFonts w:ascii="Wingdings" w:hAnsi="Wingdings" w:cs="Wingdings" w:hint="default"/>
        <w:sz w:val="20"/>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sz w:val="20"/>
        <w:b/>
        <w:rFonts w:cs="Symbol"/>
      </w:rPr>
    </w:lvl>
    <w:lvl w:ilvl="1">
      <w:start w:val="8"/>
      <w:numFmt w:val="bullet"/>
      <w:lvlText w:val="-"/>
      <w:lvlJc w:val="left"/>
      <w:pPr>
        <w:ind w:left="1080" w:hanging="360"/>
      </w:pPr>
      <w:rPr>
        <w:rFonts w:ascii="Calibri" w:hAnsi="Calibri" w:cs="Calibri" w:hint="default"/>
        <w:sz w:val="20"/>
        <w:b/>
        <w:rFonts w:cs="Calibri"/>
      </w:rPr>
    </w:lvl>
    <w:lvl w:ilvl="2">
      <w:start w:val="1"/>
      <w:numFmt w:val="bullet"/>
      <w:lvlText w:val=""/>
      <w:lvlJc w:val="left"/>
      <w:pPr>
        <w:ind w:left="1800" w:hanging="360"/>
      </w:pPr>
      <w:rPr>
        <w:rFonts w:ascii="Wingdings" w:hAnsi="Wingdings" w:cs="Wingdings" w:hint="default"/>
        <w:sz w:val="20"/>
        <w:b/>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sz w:val="20"/>
        <w:b/>
        <w:rFonts w:cs="Symbol"/>
      </w:rPr>
    </w:lvl>
    <w:lvl w:ilvl="1">
      <w:start w:val="1"/>
      <w:numFmt w:val="bullet"/>
      <w:lvlText w:val=""/>
      <w:lvlJc w:val="left"/>
      <w:pPr>
        <w:tabs>
          <w:tab w:val="num" w:pos="720"/>
        </w:tabs>
        <w:ind w:left="720" w:hanging="360"/>
      </w:pPr>
      <w:rPr>
        <w:rFonts w:ascii="Symbol" w:hAnsi="Symbol" w:cs="Symbol" w:hint="default"/>
        <w:sz w:val="20"/>
        <w:rFonts w:cs="Symbol"/>
      </w:rPr>
    </w:lvl>
    <w:lvl w:ilvl="2">
      <w:start w:val="1"/>
      <w:numFmt w:val="bullet"/>
      <w:lvlText w:val=""/>
      <w:lvlJc w:val="left"/>
      <w:pPr>
        <w:tabs>
          <w:tab w:val="num" w:pos="1440"/>
        </w:tabs>
        <w:ind w:left="1440" w:hanging="360"/>
      </w:pPr>
      <w:rPr>
        <w:rFonts w:ascii="Wingdings" w:hAnsi="Wingdings" w:cs="Wingdings" w:hint="default"/>
        <w:sz w:val="20"/>
        <w:rFonts w:cs="Wingdings"/>
      </w:rPr>
    </w:lvl>
    <w:lvl w:ilvl="3">
      <w:start w:val="1"/>
      <w:numFmt w:val="bullet"/>
      <w:lvlText w:val=""/>
      <w:lvlJc w:val="left"/>
      <w:pPr>
        <w:tabs>
          <w:tab w:val="num" w:pos="2160"/>
        </w:tabs>
        <w:ind w:left="2160" w:hanging="360"/>
      </w:pPr>
      <w:rPr>
        <w:rFonts w:ascii="Wingdings" w:hAnsi="Wingdings" w:cs="Wingdings" w:hint="default"/>
        <w:sz w:val="20"/>
        <w:rFonts w:cs="Wingdings"/>
      </w:rPr>
    </w:lvl>
    <w:lvl w:ilvl="4">
      <w:start w:val="1"/>
      <w:numFmt w:val="bullet"/>
      <w:lvlText w:val=""/>
      <w:lvlJc w:val="left"/>
      <w:pPr>
        <w:tabs>
          <w:tab w:val="num" w:pos="2880"/>
        </w:tabs>
        <w:ind w:left="2880" w:hanging="360"/>
      </w:pPr>
      <w:rPr>
        <w:rFonts w:ascii="Wingdings" w:hAnsi="Wingdings" w:cs="Wingdings" w:hint="default"/>
        <w:sz w:val="20"/>
        <w:rFonts w:cs="Wingdings"/>
      </w:rPr>
    </w:lvl>
    <w:lvl w:ilvl="5">
      <w:start w:val="1"/>
      <w:numFmt w:val="bullet"/>
      <w:lvlText w:val=""/>
      <w:lvlJc w:val="left"/>
      <w:pPr>
        <w:tabs>
          <w:tab w:val="num" w:pos="3600"/>
        </w:tabs>
        <w:ind w:left="3600" w:hanging="360"/>
      </w:pPr>
      <w:rPr>
        <w:rFonts w:ascii="Wingdings" w:hAnsi="Wingdings" w:cs="Wingdings" w:hint="default"/>
        <w:sz w:val="20"/>
        <w:rFonts w:cs="Wingdings"/>
      </w:rPr>
    </w:lvl>
    <w:lvl w:ilvl="6">
      <w:start w:val="1"/>
      <w:numFmt w:val="bullet"/>
      <w:lvlText w:val=""/>
      <w:lvlJc w:val="left"/>
      <w:pPr>
        <w:tabs>
          <w:tab w:val="num" w:pos="4320"/>
        </w:tabs>
        <w:ind w:left="4320" w:hanging="360"/>
      </w:pPr>
      <w:rPr>
        <w:rFonts w:ascii="Wingdings" w:hAnsi="Wingdings" w:cs="Wingdings" w:hint="default"/>
        <w:sz w:val="20"/>
        <w:rFonts w:cs="Wingdings"/>
      </w:rPr>
    </w:lvl>
    <w:lvl w:ilvl="7">
      <w:start w:val="1"/>
      <w:numFmt w:val="bullet"/>
      <w:lvlText w:val=""/>
      <w:lvlJc w:val="left"/>
      <w:pPr>
        <w:tabs>
          <w:tab w:val="num" w:pos="5040"/>
        </w:tabs>
        <w:ind w:left="5040" w:hanging="360"/>
      </w:pPr>
      <w:rPr>
        <w:rFonts w:ascii="Wingdings" w:hAnsi="Wingdings" w:cs="Wingdings" w:hint="default"/>
        <w:sz w:val="20"/>
        <w:rFonts w:cs="Wingdings"/>
      </w:rPr>
    </w:lvl>
    <w:lvl w:ilvl="8">
      <w:start w:val="1"/>
      <w:numFmt w:val="bullet"/>
      <w:lvlText w:val=""/>
      <w:lvlJc w:val="left"/>
      <w:pPr>
        <w:tabs>
          <w:tab w:val="num" w:pos="5760"/>
        </w:tabs>
        <w:ind w:left="5760" w:hanging="360"/>
      </w:pPr>
      <w:rPr>
        <w:rFonts w:ascii="Wingdings" w:hAnsi="Wingdings" w:cs="Wingdings" w:hint="default"/>
        <w:sz w:val="20"/>
        <w:rFonts w:cs="Wingdings"/>
      </w:r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360" w:hanging="360"/>
      </w:pPr>
      <w:rPr>
        <w:rFonts w:ascii="Symbol" w:hAnsi="Symbol" w:cs="Symbol" w:hint="default"/>
        <w:rFonts w:cs="Symbol"/>
      </w:rPr>
    </w:lvl>
    <w:lvl w:ilvl="2">
      <w:start w:val="1"/>
      <w:numFmt w:val="bullet"/>
      <w:lvlText w:val=""/>
      <w:lvlJc w:val="left"/>
      <w:pPr>
        <w:ind w:left="1800" w:hanging="360"/>
      </w:pPr>
      <w:rPr>
        <w:rFonts w:ascii="Wingdings" w:hAnsi="Wingdings" w:cs="Wingdings" w:hint="default"/>
        <w:sz w:val="20"/>
        <w:b/>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360" w:hanging="360"/>
      </w:pPr>
      <w:rPr>
        <w:rFonts w:ascii="Symbol" w:hAnsi="Symbol" w:cs="Symbol" w:hint="default"/>
        <w:rFonts w:cs="Symbol"/>
      </w:rPr>
    </w:lvl>
    <w:lvl w:ilvl="2">
      <w:start w:val="1"/>
      <w:numFmt w:val="bullet"/>
      <w:lvlText w:val=""/>
      <w:lvlJc w:val="left"/>
      <w:pPr>
        <w:ind w:left="1800" w:hanging="360"/>
      </w:pPr>
      <w:rPr>
        <w:rFonts w:ascii="Wingdings" w:hAnsi="Wingdings" w:cs="Wingdings" w:hint="default"/>
        <w:sz w:val="20"/>
        <w:b/>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360" w:hanging="360"/>
      </w:pPr>
      <w:rPr>
        <w:rFonts w:ascii="Symbol" w:hAnsi="Symbol" w:cs="Symbol" w:hint="default"/>
        <w:rFonts w:cs="Symbol"/>
      </w:rPr>
    </w:lvl>
    <w:lvl w:ilvl="2">
      <w:start w:val="1"/>
      <w:numFmt w:val="bullet"/>
      <w:lvlText w:val=""/>
      <w:lvlJc w:val="left"/>
      <w:pPr>
        <w:ind w:left="1800" w:hanging="360"/>
      </w:pPr>
      <w:rPr>
        <w:rFonts w:ascii="Wingdings" w:hAnsi="Wingdings" w:cs="Wingdings" w:hint="default"/>
        <w:sz w:val="20"/>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Wingdings" w:hAnsi="Wingdings" w:cs="Wingdings" w:hint="default"/>
        <w:sz w:val="20"/>
        <w:rFonts w:cs="Wingdings"/>
      </w:rPr>
    </w:lvl>
    <w:lvl w:ilvl="1">
      <w:start w:val="1"/>
      <w:numFmt w:val="bullet"/>
      <w:lvlText w:val="o"/>
      <w:lvlJc w:val="left"/>
      <w:pPr>
        <w:ind w:left="72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1080" w:hanging="360"/>
      </w:pPr>
      <w:rPr>
        <w:rFonts w:ascii="Symbol" w:hAnsi="Symbol" w:cs="Symbol" w:hint="default"/>
        <w:sz w:val="20"/>
        <w:b/>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sz w:val="20"/>
        <w:b/>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0"/>
        <w:b/>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8"/>
      <w:numFmt w:val="bullet"/>
      <w:lvlText w:val="-"/>
      <w:lvlJc w:val="left"/>
      <w:pPr>
        <w:ind w:left="1080" w:hanging="360"/>
      </w:pPr>
      <w:rPr>
        <w:rFonts w:ascii="Calibri" w:hAnsi="Calibri" w:cs="Calibri" w:hint="default"/>
        <w:sz w:val="20"/>
        <w:rFonts w:cs="Calibri"/>
      </w:rPr>
    </w:lvl>
    <w:lvl w:ilvl="1">
      <w:start w:val="1"/>
      <w:numFmt w:val="bullet"/>
      <w:lvlText w:val="o"/>
      <w:lvlJc w:val="left"/>
      <w:pPr>
        <w:ind w:left="1800" w:hanging="360"/>
      </w:pPr>
      <w:rPr>
        <w:rFonts w:ascii="Courier New" w:hAnsi="Courier New" w:cs="Courier New" w:hint="default"/>
        <w:sz w:val="20"/>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6">
    <w:lvl w:ilvl="0">
      <w:start w:val="8"/>
      <w:numFmt w:val="bullet"/>
      <w:lvlText w:val="-"/>
      <w:lvlJc w:val="left"/>
      <w:pPr>
        <w:ind w:left="1080" w:hanging="360"/>
      </w:pPr>
      <w:rPr>
        <w:rFonts w:ascii="Calibri" w:hAnsi="Calibri" w:cs="Calibri" w:hint="default"/>
        <w:sz w:val="20"/>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20"/>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360" w:hanging="360"/>
      </w:pPr>
      <w:rPr>
        <w:rFonts w:ascii="Symbol" w:hAnsi="Symbol" w:cs="Symbol" w:hint="default"/>
        <w:rFonts w:cs="Symbol"/>
      </w:rPr>
    </w:lvl>
    <w:lvl w:ilvl="1">
      <w:start w:val="8"/>
      <w:numFmt w:val="bullet"/>
      <w:lvlText w:val="-"/>
      <w:lvlJc w:val="left"/>
      <w:pPr>
        <w:ind w:left="1080" w:hanging="360"/>
      </w:pPr>
      <w:rPr>
        <w:rFonts w:ascii="Calibri" w:hAnsi="Calibri" w:cs="Calibri" w:hint="default"/>
        <w:sz w:val="20"/>
        <w:b/>
        <w:rFonts w:cs="Calibri"/>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360" w:hanging="360"/>
      </w:pPr>
      <w:rPr>
        <w:rFonts w:ascii="Symbol" w:hAnsi="Symbol" w:cs="Symbol" w:hint="default"/>
        <w:sz w:val="20"/>
        <w:b/>
        <w:rFonts w:cs="Symbol"/>
      </w:rPr>
    </w:lvl>
    <w:lvl w:ilvl="1">
      <w:start w:val="8"/>
      <w:numFmt w:val="bullet"/>
      <w:lvlText w:val="-"/>
      <w:lvlJc w:val="left"/>
      <w:pPr>
        <w:tabs>
          <w:tab w:val="num" w:pos="720"/>
        </w:tabs>
        <w:ind w:left="720" w:hanging="360"/>
      </w:pPr>
      <w:rPr>
        <w:rFonts w:ascii="Calibri" w:hAnsi="Calibri" w:cs="Calibri" w:hint="default"/>
        <w:sz w:val="20"/>
        <w:b/>
        <w:rFonts w:cs="Calibri"/>
      </w:rPr>
    </w:lvl>
    <w:lvl w:ilvl="2">
      <w:start w:val="1"/>
      <w:numFmt w:val="bullet"/>
      <w:lvlText w:val=""/>
      <w:lvlJc w:val="left"/>
      <w:pPr>
        <w:tabs>
          <w:tab w:val="num" w:pos="1440"/>
        </w:tabs>
        <w:ind w:left="1440" w:hanging="360"/>
      </w:pPr>
      <w:rPr>
        <w:rFonts w:ascii="Wingdings" w:hAnsi="Wingdings" w:cs="Wingdings" w:hint="default"/>
        <w:sz w:val="20"/>
        <w:rFonts w:cs="Wingdings"/>
      </w:rPr>
    </w:lvl>
    <w:lvl w:ilvl="3">
      <w:start w:val="1"/>
      <w:numFmt w:val="bullet"/>
      <w:lvlText w:val=""/>
      <w:lvlJc w:val="left"/>
      <w:pPr>
        <w:tabs>
          <w:tab w:val="num" w:pos="2160"/>
        </w:tabs>
        <w:ind w:left="2160" w:hanging="360"/>
      </w:pPr>
      <w:rPr>
        <w:rFonts w:ascii="Wingdings" w:hAnsi="Wingdings" w:cs="Wingdings" w:hint="default"/>
        <w:sz w:val="20"/>
        <w:rFonts w:cs="Wingdings"/>
      </w:rPr>
    </w:lvl>
    <w:lvl w:ilvl="4">
      <w:start w:val="1"/>
      <w:numFmt w:val="bullet"/>
      <w:lvlText w:val=""/>
      <w:lvlJc w:val="left"/>
      <w:pPr>
        <w:tabs>
          <w:tab w:val="num" w:pos="2880"/>
        </w:tabs>
        <w:ind w:left="2880" w:hanging="360"/>
      </w:pPr>
      <w:rPr>
        <w:rFonts w:ascii="Wingdings" w:hAnsi="Wingdings" w:cs="Wingdings" w:hint="default"/>
        <w:sz w:val="20"/>
        <w:rFonts w:cs="Wingdings"/>
      </w:rPr>
    </w:lvl>
    <w:lvl w:ilvl="5">
      <w:start w:val="1"/>
      <w:numFmt w:val="bullet"/>
      <w:lvlText w:val=""/>
      <w:lvlJc w:val="left"/>
      <w:pPr>
        <w:tabs>
          <w:tab w:val="num" w:pos="3600"/>
        </w:tabs>
        <w:ind w:left="3600" w:hanging="360"/>
      </w:pPr>
      <w:rPr>
        <w:rFonts w:ascii="Wingdings" w:hAnsi="Wingdings" w:cs="Wingdings" w:hint="default"/>
        <w:sz w:val="20"/>
        <w:rFonts w:cs="Wingdings"/>
      </w:rPr>
    </w:lvl>
    <w:lvl w:ilvl="6">
      <w:start w:val="1"/>
      <w:numFmt w:val="bullet"/>
      <w:lvlText w:val=""/>
      <w:lvlJc w:val="left"/>
      <w:pPr>
        <w:tabs>
          <w:tab w:val="num" w:pos="4320"/>
        </w:tabs>
        <w:ind w:left="4320" w:hanging="360"/>
      </w:pPr>
      <w:rPr>
        <w:rFonts w:ascii="Wingdings" w:hAnsi="Wingdings" w:cs="Wingdings" w:hint="default"/>
        <w:sz w:val="20"/>
        <w:rFonts w:cs="Wingdings"/>
      </w:rPr>
    </w:lvl>
    <w:lvl w:ilvl="7">
      <w:start w:val="1"/>
      <w:numFmt w:val="bullet"/>
      <w:lvlText w:val=""/>
      <w:lvlJc w:val="left"/>
      <w:pPr>
        <w:tabs>
          <w:tab w:val="num" w:pos="5040"/>
        </w:tabs>
        <w:ind w:left="5040" w:hanging="360"/>
      </w:pPr>
      <w:rPr>
        <w:rFonts w:ascii="Wingdings" w:hAnsi="Wingdings" w:cs="Wingdings" w:hint="default"/>
        <w:sz w:val="20"/>
        <w:rFonts w:cs="Wingdings"/>
      </w:rPr>
    </w:lvl>
    <w:lvl w:ilvl="8">
      <w:start w:val="1"/>
      <w:numFmt w:val="bullet"/>
      <w:lvlText w:val=""/>
      <w:lvlJc w:val="left"/>
      <w:pPr>
        <w:tabs>
          <w:tab w:val="num" w:pos="5760"/>
        </w:tabs>
        <w:ind w:left="5760" w:hanging="360"/>
      </w:pPr>
      <w:rPr>
        <w:rFonts w:ascii="Wingdings" w:hAnsi="Wingdings" w:cs="Wingdings" w:hint="default"/>
        <w:sz w:val="20"/>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990" w:hanging="360"/>
      </w:pPr>
      <w:rPr>
        <w:rFonts w:ascii="Symbol" w:hAnsi="Symbol" w:cs="Symbol" w:hint="default"/>
        <w:sz w:val="20"/>
        <w:b/>
        <w:rFonts w:cs="Symbol"/>
      </w:rPr>
    </w:lvl>
    <w:lvl w:ilvl="1">
      <w:start w:val="1"/>
      <w:numFmt w:val="bullet"/>
      <w:lvlText w:val="o"/>
      <w:lvlJc w:val="left"/>
      <w:pPr>
        <w:ind w:left="1710" w:hanging="360"/>
      </w:pPr>
      <w:rPr>
        <w:rFonts w:ascii="Courier New" w:hAnsi="Courier New" w:cs="Courier New" w:hint="default"/>
        <w:rFonts w:cs="Courier New"/>
      </w:rPr>
    </w:lvl>
    <w:lvl w:ilvl="2">
      <w:start w:val="1"/>
      <w:numFmt w:val="bullet"/>
      <w:lvlText w:val=""/>
      <w:lvlJc w:val="left"/>
      <w:pPr>
        <w:ind w:left="2430" w:hanging="360"/>
      </w:pPr>
      <w:rPr>
        <w:rFonts w:ascii="Wingdings" w:hAnsi="Wingdings" w:cs="Wingdings" w:hint="default"/>
        <w:rFonts w:cs="Wingdings"/>
      </w:rPr>
    </w:lvl>
    <w:lvl w:ilvl="3">
      <w:start w:val="1"/>
      <w:numFmt w:val="bullet"/>
      <w:lvlText w:val=""/>
      <w:lvlJc w:val="left"/>
      <w:pPr>
        <w:ind w:left="3150" w:hanging="360"/>
      </w:pPr>
      <w:rPr>
        <w:rFonts w:ascii="Symbol" w:hAnsi="Symbol" w:cs="Symbol" w:hint="default"/>
        <w:rFonts w:cs="Symbol"/>
      </w:rPr>
    </w:lvl>
    <w:lvl w:ilvl="4">
      <w:start w:val="1"/>
      <w:numFmt w:val="bullet"/>
      <w:lvlText w:val="o"/>
      <w:lvlJc w:val="left"/>
      <w:pPr>
        <w:ind w:left="3870" w:hanging="360"/>
      </w:pPr>
      <w:rPr>
        <w:rFonts w:ascii="Courier New" w:hAnsi="Courier New" w:cs="Courier New" w:hint="default"/>
        <w:rFonts w:cs="Courier New"/>
      </w:rPr>
    </w:lvl>
    <w:lvl w:ilvl="5">
      <w:start w:val="1"/>
      <w:numFmt w:val="bullet"/>
      <w:lvlText w:val=""/>
      <w:lvlJc w:val="left"/>
      <w:pPr>
        <w:ind w:left="4590" w:hanging="360"/>
      </w:pPr>
      <w:rPr>
        <w:rFonts w:ascii="Wingdings" w:hAnsi="Wingdings" w:cs="Wingdings" w:hint="default"/>
        <w:rFonts w:cs="Wingdings"/>
      </w:rPr>
    </w:lvl>
    <w:lvl w:ilvl="6">
      <w:start w:val="1"/>
      <w:numFmt w:val="bullet"/>
      <w:lvlText w:val=""/>
      <w:lvlJc w:val="left"/>
      <w:pPr>
        <w:ind w:left="5310" w:hanging="360"/>
      </w:pPr>
      <w:rPr>
        <w:rFonts w:ascii="Symbol" w:hAnsi="Symbol" w:cs="Symbol" w:hint="default"/>
        <w:rFonts w:cs="Symbol"/>
      </w:rPr>
    </w:lvl>
    <w:lvl w:ilvl="7">
      <w:start w:val="1"/>
      <w:numFmt w:val="bullet"/>
      <w:lvlText w:val="o"/>
      <w:lvlJc w:val="left"/>
      <w:pPr>
        <w:ind w:left="6030" w:hanging="360"/>
      </w:pPr>
      <w:rPr>
        <w:rFonts w:ascii="Courier New" w:hAnsi="Courier New" w:cs="Courier New" w:hint="default"/>
        <w:rFonts w:cs="Courier New"/>
      </w:rPr>
    </w:lvl>
    <w:lvl w:ilvl="8">
      <w:start w:val="1"/>
      <w:numFmt w:val="bullet"/>
      <w:lvlText w:val=""/>
      <w:lvlJc w:val="left"/>
      <w:pPr>
        <w:ind w:left="675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sz w:val="20"/>
        <w:b/>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360" w:hanging="360"/>
      </w:pPr>
      <w:rPr>
        <w:rFonts w:ascii="Symbol" w:hAnsi="Symbol" w:cs="Symbol" w:hint="default"/>
        <w:sz w:val="20"/>
        <w:b/>
        <w:rFonts w:cs="Symbol"/>
      </w:rPr>
    </w:lvl>
    <w:lvl w:ilvl="1">
      <w:start w:val="8"/>
      <w:numFmt w:val="bullet"/>
      <w:lvlText w:val="-"/>
      <w:lvlJc w:val="left"/>
      <w:pPr>
        <w:ind w:left="1080" w:hanging="360"/>
      </w:pPr>
      <w:rPr>
        <w:rFonts w:ascii="Calibri" w:hAnsi="Calibri" w:cs="Calibri" w:hint="default"/>
        <w:rFonts w:cs="Calibri"/>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7">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8">
    <w:lvl w:ilvl="0">
      <w:start w:val="8"/>
      <w:numFmt w:val="bullet"/>
      <w:lvlText w:val="-"/>
      <w:lvlJc w:val="left"/>
      <w:pPr>
        <w:ind w:left="720" w:hanging="360"/>
      </w:pPr>
      <w:rPr>
        <w:rFonts w:ascii="Calibri" w:hAnsi="Calibri" w:cs="Calibri" w:hint="default"/>
        <w:sz w:val="20"/>
        <w:b/>
        <w:rFonts w:cs="Calibri"/>
      </w:rPr>
    </w:lvl>
    <w:lvl w:ilvl="1">
      <w:start w:val="8"/>
      <w:numFmt w:val="bullet"/>
      <w:lvlText w:val="-"/>
      <w:lvlJc w:val="left"/>
      <w:pPr>
        <w:ind w:left="1440" w:hanging="360"/>
      </w:pPr>
      <w:rPr>
        <w:rFonts w:ascii="Calibri" w:hAnsi="Calibri" w:cs="Calibri" w:hint="default"/>
        <w:rFonts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lvlText w:val=""/>
      <w:lvlJc w:val="left"/>
      <w:pPr>
        <w:ind w:left="360" w:hanging="360"/>
      </w:pPr>
      <w:rPr>
        <w:rFonts w:ascii="Symbol" w:hAnsi="Symbol" w:cs="Symbol" w:hint="default"/>
        <w:sz w:val="20"/>
        <w:rFonts w:cs="Symbol"/>
      </w:rPr>
    </w:lvl>
    <w:lvl w:ilvl="1">
      <w:start w:val="8"/>
      <w:numFmt w:val="bullet"/>
      <w:lvlText w:val="-"/>
      <w:lvlJc w:val="left"/>
      <w:pPr>
        <w:tabs>
          <w:tab w:val="num" w:pos="720"/>
        </w:tabs>
        <w:ind w:left="720" w:hanging="360"/>
      </w:pPr>
      <w:rPr>
        <w:rFonts w:ascii="Calibri" w:hAnsi="Calibri" w:cs="Calibri" w:hint="default"/>
        <w:sz w:val="20"/>
        <w:rFonts w:cs="Calibri"/>
      </w:rPr>
    </w:lvl>
    <w:lvl w:ilvl="2">
      <w:start w:val="1"/>
      <w:numFmt w:val="bullet"/>
      <w:lvlText w:val=""/>
      <w:lvlJc w:val="left"/>
      <w:pPr>
        <w:tabs>
          <w:tab w:val="num" w:pos="1440"/>
        </w:tabs>
        <w:ind w:left="1440" w:hanging="360"/>
      </w:pPr>
      <w:rPr>
        <w:rFonts w:ascii="Wingdings" w:hAnsi="Wingdings" w:cs="Wingdings" w:hint="default"/>
        <w:sz w:val="20"/>
        <w:rFonts w:cs="Wingdings"/>
      </w:rPr>
    </w:lvl>
    <w:lvl w:ilvl="3">
      <w:start w:val="1"/>
      <w:numFmt w:val="bullet"/>
      <w:lvlText w:val=""/>
      <w:lvlJc w:val="left"/>
      <w:pPr>
        <w:tabs>
          <w:tab w:val="num" w:pos="2160"/>
        </w:tabs>
        <w:ind w:left="2160" w:hanging="360"/>
      </w:pPr>
      <w:rPr>
        <w:rFonts w:ascii="Wingdings" w:hAnsi="Wingdings" w:cs="Wingdings" w:hint="default"/>
        <w:sz w:val="20"/>
        <w:rFonts w:cs="Wingdings"/>
      </w:rPr>
    </w:lvl>
    <w:lvl w:ilvl="4">
      <w:start w:val="1"/>
      <w:numFmt w:val="bullet"/>
      <w:lvlText w:val=""/>
      <w:lvlJc w:val="left"/>
      <w:pPr>
        <w:tabs>
          <w:tab w:val="num" w:pos="2880"/>
        </w:tabs>
        <w:ind w:left="2880" w:hanging="360"/>
      </w:pPr>
      <w:rPr>
        <w:rFonts w:ascii="Wingdings" w:hAnsi="Wingdings" w:cs="Wingdings" w:hint="default"/>
        <w:sz w:val="20"/>
        <w:rFonts w:cs="Wingdings"/>
      </w:rPr>
    </w:lvl>
    <w:lvl w:ilvl="5">
      <w:start w:val="1"/>
      <w:numFmt w:val="bullet"/>
      <w:lvlText w:val=""/>
      <w:lvlJc w:val="left"/>
      <w:pPr>
        <w:tabs>
          <w:tab w:val="num" w:pos="3600"/>
        </w:tabs>
        <w:ind w:left="3600" w:hanging="360"/>
      </w:pPr>
      <w:rPr>
        <w:rFonts w:ascii="Wingdings" w:hAnsi="Wingdings" w:cs="Wingdings" w:hint="default"/>
        <w:sz w:val="20"/>
        <w:rFonts w:cs="Wingdings"/>
      </w:rPr>
    </w:lvl>
    <w:lvl w:ilvl="6">
      <w:start w:val="1"/>
      <w:numFmt w:val="bullet"/>
      <w:lvlText w:val=""/>
      <w:lvlJc w:val="left"/>
      <w:pPr>
        <w:tabs>
          <w:tab w:val="num" w:pos="4320"/>
        </w:tabs>
        <w:ind w:left="4320" w:hanging="360"/>
      </w:pPr>
      <w:rPr>
        <w:rFonts w:ascii="Wingdings" w:hAnsi="Wingdings" w:cs="Wingdings" w:hint="default"/>
        <w:sz w:val="20"/>
        <w:rFonts w:cs="Wingdings"/>
      </w:rPr>
    </w:lvl>
    <w:lvl w:ilvl="7">
      <w:start w:val="1"/>
      <w:numFmt w:val="bullet"/>
      <w:lvlText w:val=""/>
      <w:lvlJc w:val="left"/>
      <w:pPr>
        <w:tabs>
          <w:tab w:val="num" w:pos="5040"/>
        </w:tabs>
        <w:ind w:left="5040" w:hanging="360"/>
      </w:pPr>
      <w:rPr>
        <w:rFonts w:ascii="Wingdings" w:hAnsi="Wingdings" w:cs="Wingdings" w:hint="default"/>
        <w:sz w:val="20"/>
        <w:rFonts w:cs="Wingdings"/>
      </w:rPr>
    </w:lvl>
    <w:lvl w:ilvl="8">
      <w:start w:val="1"/>
      <w:numFmt w:val="bullet"/>
      <w:lvlText w:val=""/>
      <w:lvlJc w:val="left"/>
      <w:pPr>
        <w:tabs>
          <w:tab w:val="num" w:pos="5760"/>
        </w:tabs>
        <w:ind w:left="5760" w:hanging="360"/>
      </w:pPr>
      <w:rPr>
        <w:rFonts w:ascii="Wingdings" w:hAnsi="Wingdings" w:cs="Wingdings" w:hint="default"/>
        <w:sz w:val="20"/>
        <w:rFonts w:cs="Wingdings"/>
      </w:rPr>
    </w:lvl>
  </w:abstractNum>
  <w:abstractNum w:abstractNumId="30">
    <w:lvl w:ilvl="0">
      <w:start w:val="1"/>
      <w:numFmt w:val="bullet"/>
      <w:lvlText w:val=""/>
      <w:lvlJc w:val="left"/>
      <w:pPr>
        <w:ind w:left="720" w:hanging="360"/>
      </w:pPr>
      <w:rPr>
        <w:rFonts w:ascii="Symbol" w:hAnsi="Symbol" w:cs="Symbol" w:hint="default"/>
        <w:sz w:val="20"/>
        <w:b/>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8"/>
      <w:numFmt w:val="bullet"/>
      <w:lvlText w:val="-"/>
      <w:lvlJc w:val="left"/>
      <w:pPr>
        <w:ind w:left="720" w:hanging="360"/>
      </w:pPr>
      <w:rPr>
        <w:rFonts w:ascii="Calibri" w:hAnsi="Calibri" w:cs="Calibri" w:hint="default"/>
        <w:sz w:val="20"/>
        <w:b/>
        <w:rFonts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8"/>
      <w:numFmt w:val="bullet"/>
      <w:lvlText w:val="-"/>
      <w:lvlJc w:val="left"/>
      <w:pPr>
        <w:ind w:left="720" w:hanging="360"/>
      </w:pPr>
      <w:rPr>
        <w:rFonts w:ascii="Calibri" w:hAnsi="Calibri" w:cs="Calibri" w:hint="default"/>
        <w:sz w:val="2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8"/>
      <w:numFmt w:val="bullet"/>
      <w:lvlText w:val="-"/>
      <w:lvlJc w:val="left"/>
      <w:pPr>
        <w:tabs>
          <w:tab w:val="num" w:pos="3600"/>
        </w:tabs>
        <w:ind w:left="3600" w:hanging="360"/>
      </w:pPr>
      <w:rPr>
        <w:rFonts w:ascii="Calibri" w:hAnsi="Calibri" w:cs="Calibri" w:hint="default"/>
        <w:sz w:val="20"/>
        <w:b/>
        <w:rFonts w:cs="Calibri"/>
      </w:rPr>
    </w:lvl>
    <w:lvl w:ilvl="1">
      <w:start w:val="1"/>
      <w:numFmt w:val="bullet"/>
      <w:lvlText w:val=""/>
      <w:lvlJc w:val="left"/>
      <w:pPr>
        <w:tabs>
          <w:tab w:val="num" w:pos="4320"/>
        </w:tabs>
        <w:ind w:left="4320" w:hanging="360"/>
      </w:pPr>
      <w:rPr>
        <w:rFonts w:ascii="Symbol" w:hAnsi="Symbol" w:cs="Symbol" w:hint="default"/>
        <w:sz w:val="20"/>
        <w:rFonts w:cs="Symbol"/>
      </w:rPr>
    </w:lvl>
    <w:lvl w:ilvl="2">
      <w:start w:val="1"/>
      <w:numFmt w:val="bullet"/>
      <w:lvlText w:val=""/>
      <w:lvlJc w:val="left"/>
      <w:pPr>
        <w:tabs>
          <w:tab w:val="num" w:pos="5040"/>
        </w:tabs>
        <w:ind w:left="5040" w:hanging="360"/>
      </w:pPr>
      <w:rPr>
        <w:rFonts w:ascii="Wingdings" w:hAnsi="Wingdings" w:cs="Wingdings" w:hint="default"/>
        <w:sz w:val="20"/>
        <w:rFonts w:cs="Wingdings"/>
      </w:rPr>
    </w:lvl>
    <w:lvl w:ilvl="3">
      <w:start w:val="1"/>
      <w:numFmt w:val="bullet"/>
      <w:lvlText w:val=""/>
      <w:lvlJc w:val="left"/>
      <w:pPr>
        <w:tabs>
          <w:tab w:val="num" w:pos="5760"/>
        </w:tabs>
        <w:ind w:left="5760" w:hanging="360"/>
      </w:pPr>
      <w:rPr>
        <w:rFonts w:ascii="Wingdings" w:hAnsi="Wingdings" w:cs="Wingdings" w:hint="default"/>
        <w:sz w:val="20"/>
        <w:rFonts w:cs="Wingdings"/>
      </w:rPr>
    </w:lvl>
    <w:lvl w:ilvl="4">
      <w:start w:val="1"/>
      <w:numFmt w:val="bullet"/>
      <w:lvlText w:val=""/>
      <w:lvlJc w:val="left"/>
      <w:pPr>
        <w:tabs>
          <w:tab w:val="num" w:pos="6480"/>
        </w:tabs>
        <w:ind w:left="6480" w:hanging="360"/>
      </w:pPr>
      <w:rPr>
        <w:rFonts w:ascii="Wingdings" w:hAnsi="Wingdings" w:cs="Wingdings" w:hint="default"/>
        <w:sz w:val="20"/>
        <w:rFonts w:cs="Wingdings"/>
      </w:rPr>
    </w:lvl>
    <w:lvl w:ilvl="5">
      <w:start w:val="1"/>
      <w:numFmt w:val="bullet"/>
      <w:lvlText w:val=""/>
      <w:lvlJc w:val="left"/>
      <w:pPr>
        <w:tabs>
          <w:tab w:val="num" w:pos="7200"/>
        </w:tabs>
        <w:ind w:left="7200" w:hanging="360"/>
      </w:pPr>
      <w:rPr>
        <w:rFonts w:ascii="Wingdings" w:hAnsi="Wingdings" w:cs="Wingdings" w:hint="default"/>
        <w:sz w:val="20"/>
        <w:rFonts w:cs="Wingdings"/>
      </w:rPr>
    </w:lvl>
    <w:lvl w:ilvl="6">
      <w:start w:val="1"/>
      <w:numFmt w:val="bullet"/>
      <w:lvlText w:val=""/>
      <w:lvlJc w:val="left"/>
      <w:pPr>
        <w:tabs>
          <w:tab w:val="num" w:pos="7920"/>
        </w:tabs>
        <w:ind w:left="7920" w:hanging="360"/>
      </w:pPr>
      <w:rPr>
        <w:rFonts w:ascii="Wingdings" w:hAnsi="Wingdings" w:cs="Wingdings" w:hint="default"/>
        <w:sz w:val="20"/>
        <w:rFonts w:cs="Wingdings"/>
      </w:rPr>
    </w:lvl>
    <w:lvl w:ilvl="7">
      <w:start w:val="1"/>
      <w:numFmt w:val="bullet"/>
      <w:lvlText w:val=""/>
      <w:lvlJc w:val="left"/>
      <w:pPr>
        <w:tabs>
          <w:tab w:val="num" w:pos="8640"/>
        </w:tabs>
        <w:ind w:left="8640" w:hanging="360"/>
      </w:pPr>
      <w:rPr>
        <w:rFonts w:ascii="Wingdings" w:hAnsi="Wingdings" w:cs="Wingdings" w:hint="default"/>
        <w:sz w:val="20"/>
        <w:rFonts w:cs="Wingdings"/>
      </w:rPr>
    </w:lvl>
    <w:lvl w:ilvl="8">
      <w:start w:val="1"/>
      <w:numFmt w:val="bullet"/>
      <w:lvlText w:val=""/>
      <w:lvlJc w:val="left"/>
      <w:pPr>
        <w:tabs>
          <w:tab w:val="num" w:pos="9360"/>
        </w:tabs>
        <w:ind w:left="9360" w:hanging="360"/>
      </w:pPr>
      <w:rPr>
        <w:rFonts w:ascii="Wingdings" w:hAnsi="Wingdings" w:cs="Wingdings" w:hint="default"/>
        <w:sz w:val="20"/>
        <w:rFonts w:cs="Wingdings"/>
      </w:rPr>
    </w:lvl>
  </w:abstractNum>
  <w:abstractNum w:abstractNumId="34">
    <w:lvl w:ilvl="0">
      <w:start w:val="1"/>
      <w:numFmt w:val="bullet"/>
      <w:lvlText w:val=""/>
      <w:lvlJc w:val="left"/>
      <w:pPr>
        <w:ind w:left="360" w:hanging="360"/>
      </w:pPr>
      <w:rPr>
        <w:rFonts w:ascii="Symbol" w:hAnsi="Symbol" w:cs="Symbol" w:hint="default"/>
        <w:sz w:val="20"/>
        <w:rFonts w:cs="Symbol"/>
      </w:rPr>
    </w:lvl>
    <w:lvl w:ilvl="1">
      <w:start w:val="8"/>
      <w:numFmt w:val="bullet"/>
      <w:lvlText w:val="-"/>
      <w:lvlJc w:val="left"/>
      <w:pPr>
        <w:tabs>
          <w:tab w:val="num" w:pos="720"/>
        </w:tabs>
        <w:ind w:left="720" w:hanging="360"/>
      </w:pPr>
      <w:rPr>
        <w:rFonts w:ascii="Calibri" w:hAnsi="Calibri" w:cs="Calibri" w:hint="default"/>
        <w:sz w:val="20"/>
        <w:b/>
        <w:rFonts w:cs="Calibri"/>
      </w:rPr>
    </w:lvl>
    <w:lvl w:ilvl="2">
      <w:start w:val="1"/>
      <w:numFmt w:val="bullet"/>
      <w:lvlText w:val=""/>
      <w:lvlJc w:val="left"/>
      <w:pPr>
        <w:tabs>
          <w:tab w:val="num" w:pos="1440"/>
        </w:tabs>
        <w:ind w:left="1440" w:hanging="360"/>
      </w:pPr>
      <w:rPr>
        <w:rFonts w:ascii="Wingdings" w:hAnsi="Wingdings" w:cs="Wingdings" w:hint="default"/>
        <w:sz w:val="20"/>
        <w:rFonts w:cs="Wingdings"/>
      </w:rPr>
    </w:lvl>
    <w:lvl w:ilvl="3">
      <w:start w:val="1"/>
      <w:numFmt w:val="bullet"/>
      <w:lvlText w:val=""/>
      <w:lvlJc w:val="left"/>
      <w:pPr>
        <w:tabs>
          <w:tab w:val="num" w:pos="2160"/>
        </w:tabs>
        <w:ind w:left="2160" w:hanging="360"/>
      </w:pPr>
      <w:rPr>
        <w:rFonts w:ascii="Wingdings" w:hAnsi="Wingdings" w:cs="Wingdings" w:hint="default"/>
        <w:sz w:val="20"/>
        <w:rFonts w:cs="Wingdings"/>
      </w:rPr>
    </w:lvl>
    <w:lvl w:ilvl="4">
      <w:start w:val="1"/>
      <w:numFmt w:val="bullet"/>
      <w:lvlText w:val=""/>
      <w:lvlJc w:val="left"/>
      <w:pPr>
        <w:tabs>
          <w:tab w:val="num" w:pos="2880"/>
        </w:tabs>
        <w:ind w:left="2880" w:hanging="360"/>
      </w:pPr>
      <w:rPr>
        <w:rFonts w:ascii="Wingdings" w:hAnsi="Wingdings" w:cs="Wingdings" w:hint="default"/>
        <w:sz w:val="20"/>
        <w:rFonts w:cs="Wingdings"/>
      </w:rPr>
    </w:lvl>
    <w:lvl w:ilvl="5">
      <w:start w:val="1"/>
      <w:numFmt w:val="bullet"/>
      <w:lvlText w:val=""/>
      <w:lvlJc w:val="left"/>
      <w:pPr>
        <w:tabs>
          <w:tab w:val="num" w:pos="3600"/>
        </w:tabs>
        <w:ind w:left="3600" w:hanging="360"/>
      </w:pPr>
      <w:rPr>
        <w:rFonts w:ascii="Wingdings" w:hAnsi="Wingdings" w:cs="Wingdings" w:hint="default"/>
        <w:sz w:val="20"/>
        <w:rFonts w:cs="Wingdings"/>
      </w:rPr>
    </w:lvl>
    <w:lvl w:ilvl="6">
      <w:start w:val="1"/>
      <w:numFmt w:val="bullet"/>
      <w:lvlText w:val=""/>
      <w:lvlJc w:val="left"/>
      <w:pPr>
        <w:tabs>
          <w:tab w:val="num" w:pos="4320"/>
        </w:tabs>
        <w:ind w:left="4320" w:hanging="360"/>
      </w:pPr>
      <w:rPr>
        <w:rFonts w:ascii="Wingdings" w:hAnsi="Wingdings" w:cs="Wingdings" w:hint="default"/>
        <w:sz w:val="20"/>
        <w:rFonts w:cs="Wingdings"/>
      </w:rPr>
    </w:lvl>
    <w:lvl w:ilvl="7">
      <w:start w:val="1"/>
      <w:numFmt w:val="bullet"/>
      <w:lvlText w:val=""/>
      <w:lvlJc w:val="left"/>
      <w:pPr>
        <w:tabs>
          <w:tab w:val="num" w:pos="5040"/>
        </w:tabs>
        <w:ind w:left="5040" w:hanging="360"/>
      </w:pPr>
      <w:rPr>
        <w:rFonts w:ascii="Wingdings" w:hAnsi="Wingdings" w:cs="Wingdings" w:hint="default"/>
        <w:sz w:val="20"/>
        <w:rFonts w:cs="Wingdings"/>
      </w:rPr>
    </w:lvl>
    <w:lvl w:ilvl="8">
      <w:start w:val="1"/>
      <w:numFmt w:val="bullet"/>
      <w:lvlText w:val=""/>
      <w:lvlJc w:val="left"/>
      <w:pPr>
        <w:tabs>
          <w:tab w:val="num" w:pos="5760"/>
        </w:tabs>
        <w:ind w:left="5760" w:hanging="360"/>
      </w:pPr>
      <w:rPr>
        <w:rFonts w:ascii="Wingdings" w:hAnsi="Wingdings" w:cs="Wingdings" w:hint="default"/>
        <w:sz w:val="20"/>
        <w:rFonts w:cs="Wingdings"/>
      </w:rPr>
    </w:lvl>
  </w:abstractNum>
  <w:abstractNum w:abstractNumId="35">
    <w:lvl w:ilvl="0">
      <w:start w:val="1"/>
      <w:numFmt w:val="bullet"/>
      <w:lvlText w:val=""/>
      <w:lvlJc w:val="left"/>
      <w:pPr>
        <w:ind w:left="360" w:hanging="360"/>
      </w:pPr>
      <w:rPr>
        <w:rFonts w:ascii="Symbol" w:hAnsi="Symbol" w:cs="Symbol" w:hint="default"/>
        <w:sz w:val="20"/>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0"/>
        <w:b/>
        <w:rFonts w:cs="Symbol"/>
      </w:rPr>
    </w:lvl>
    <w:lvl w:ilvl="1">
      <w:start w:val="8"/>
      <w:numFmt w:val="bullet"/>
      <w:lvlText w:val="-"/>
      <w:lvlJc w:val="left"/>
      <w:pPr>
        <w:ind w:left="1440" w:hanging="360"/>
      </w:pPr>
      <w:rPr>
        <w:rFonts w:ascii="Calibri" w:hAnsi="Calibri" w:cs="Calibri" w:hint="default"/>
        <w:rFonts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8"/>
      <w:numFmt w:val="bullet"/>
      <w:lvlText w:val="-"/>
      <w:lvlJc w:val="left"/>
      <w:pPr>
        <w:ind w:left="1080" w:hanging="360"/>
      </w:pPr>
      <w:rPr>
        <w:rFonts w:ascii="Calibri" w:hAnsi="Calibri" w:cs="Calibri" w:hint="default"/>
        <w:sz w:val="20"/>
        <w:b/>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8">
    <w:lvl w:ilvl="0">
      <w:start w:val="1"/>
      <w:numFmt w:val="bullet"/>
      <w:lvlText w:val=""/>
      <w:lvlJc w:val="left"/>
      <w:pPr>
        <w:ind w:left="720" w:hanging="360"/>
      </w:pPr>
      <w:rPr>
        <w:rFonts w:ascii="Wingdings" w:hAnsi="Wingdings" w:cs="Wingdings" w:hint="default"/>
        <w:sz w:val="20"/>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9">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0">
    <w:lvl w:ilvl="0">
      <w:start w:val="8"/>
      <w:numFmt w:val="bullet"/>
      <w:lvlText w:val="-"/>
      <w:lvlJc w:val="left"/>
      <w:pPr>
        <w:ind w:left="720" w:hanging="360"/>
      </w:pPr>
      <w:rPr>
        <w:rFonts w:ascii="Calibri" w:hAnsi="Calibri" w:cs="Calibri" w:hint="default"/>
        <w:sz w:val="20"/>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1">
    <w:lvl w:ilvl="0">
      <w:start w:val="8"/>
      <w:numFmt w:val="bullet"/>
      <w:lvlText w:val="-"/>
      <w:lvlJc w:val="left"/>
      <w:pPr>
        <w:ind w:left="360" w:hanging="360"/>
      </w:pPr>
      <w:rPr>
        <w:rFonts w:ascii="Calibri" w:hAnsi="Calibri" w:cs="Calibri" w:hint="default"/>
        <w:sz w:val="20"/>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450" w:hanging="360"/>
      </w:pPr>
      <w:rPr>
        <w:rFonts w:ascii="Symbol" w:hAnsi="Symbol" w:cs="Symbol" w:hint="default"/>
        <w:sz w:val="20"/>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4">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450" w:hanging="360"/>
      </w:pPr>
      <w:rPr>
        <w:rFonts w:ascii="Symbol" w:hAnsi="Symbol" w:cs="Symbol" w:hint="default"/>
        <w:sz w:val="20"/>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5">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450" w:hanging="360"/>
      </w:pPr>
      <w:rPr>
        <w:rFonts w:ascii="Symbol" w:hAnsi="Symbol" w:cs="Symbol" w:hint="default"/>
        <w:sz w:val="20"/>
        <w:rFonts w:cs="Symbol"/>
      </w:rPr>
    </w:lvl>
    <w:lvl w:ilvl="2">
      <w:start w:val="5"/>
      <w:numFmt w:val="bullet"/>
      <w:lvlText w:val="-"/>
      <w:lvlJc w:val="left"/>
      <w:pPr>
        <w:ind w:left="2160" w:hanging="360"/>
      </w:pPr>
      <w:rPr>
        <w:rFonts w:ascii="Calibri" w:hAnsi="Calibri" w:cs="Calibri" w:hint="default"/>
        <w:rFonts w:cs="Calibri"/>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w="http://schemas.openxmlformats.org/wordprocessingml/2006/main">
  <w:zoom w:percent="12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GB"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52a24"/>
    <w:pPr>
      <w:widowControl/>
      <w:bidi w:val="0"/>
      <w:spacing w:lineRule="auto" w:line="240" w:before="0" w:after="0"/>
      <w:jc w:val="left"/>
    </w:pPr>
    <w:rPr>
      <w:rFonts w:ascii="Calibri" w:hAnsi="Calibri" w:eastAsia="Calibri" w:cs="" w:eastAsiaTheme="minorHAnsi"/>
      <w:color w:val="auto"/>
      <w:kern w:val="0"/>
      <w:sz w:val="24"/>
      <w:szCs w:val="24"/>
      <w:lang w:val="en-US" w:eastAsia="en-US" w:bidi="ar-SA"/>
    </w:rPr>
  </w:style>
  <w:style w:type="paragraph" w:styleId="Heading1">
    <w:name w:val="Heading 1"/>
    <w:basedOn w:val="Normal"/>
    <w:next w:val="Normal"/>
    <w:link w:val="Heading1Char"/>
    <w:uiPriority w:val="9"/>
    <w:qFormat/>
    <w:rsid w:val="000164fa"/>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semiHidden/>
    <w:unhideWhenUsed/>
    <w:qFormat/>
    <w:rsid w:val="00474bae"/>
    <w:pPr>
      <w:keepNext w:val="true"/>
      <w:keepLines/>
      <w:spacing w:before="40" w:after="0"/>
      <w:outlineLvl w:val="1"/>
    </w:pPr>
    <w:rPr>
      <w:rFonts w:ascii="Cambria" w:hAnsi="Cambria"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e52a24"/>
    <w:rPr>
      <w:rFonts w:eastAsia="Calibri" w:eastAsiaTheme="minorHAnsi"/>
      <w:sz w:val="24"/>
      <w:szCs w:val="24"/>
      <w:lang w:val="en-US" w:eastAsia="en-US"/>
    </w:rPr>
  </w:style>
  <w:style w:type="character" w:styleId="FootnoteCharacters">
    <w:name w:val="Footnote Characters"/>
    <w:basedOn w:val="DefaultParagraphFont"/>
    <w:uiPriority w:val="99"/>
    <w:unhideWhenUsed/>
    <w:qFormat/>
    <w:rsid w:val="00e52a24"/>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e52a24"/>
    <w:rPr>
      <w:color w:val="0000FF" w:themeColor="hyperlink"/>
      <w:u w:val="single"/>
    </w:rPr>
  </w:style>
  <w:style w:type="character" w:styleId="Hipervnculo1" w:customStyle="1">
    <w:name w:val="Hipervínculo1"/>
    <w:basedOn w:val="DefaultParagraphFont"/>
    <w:uiPriority w:val="99"/>
    <w:unhideWhenUsed/>
    <w:qFormat/>
    <w:rsid w:val="00e52a24"/>
    <w:rPr>
      <w:color w:val="005DBA"/>
      <w:u w:val="single"/>
    </w:rPr>
  </w:style>
  <w:style w:type="character" w:styleId="ListParagraphChar" w:customStyle="1">
    <w:name w:val="List Paragraph Char"/>
    <w:link w:val="ListParagraph"/>
    <w:uiPriority w:val="34"/>
    <w:qFormat/>
    <w:rsid w:val="00e52a24"/>
    <w:rPr>
      <w:rFonts w:eastAsia="Calibri" w:eastAsiaTheme="minorHAnsi"/>
      <w:sz w:val="24"/>
      <w:szCs w:val="24"/>
      <w:lang w:val="en-US" w:eastAsia="en-US"/>
    </w:rPr>
  </w:style>
  <w:style w:type="character" w:styleId="NoSpacingChar" w:customStyle="1">
    <w:name w:val="No Spacing Char"/>
    <w:basedOn w:val="DefaultParagraphFont"/>
    <w:link w:val="NoSpacing"/>
    <w:uiPriority w:val="1"/>
    <w:qFormat/>
    <w:rsid w:val="00e52a24"/>
    <w:rPr>
      <w:rFonts w:eastAsia="Calibri" w:eastAsiaTheme="minorHAnsi"/>
      <w:sz w:val="24"/>
      <w:szCs w:val="24"/>
      <w:lang w:val="en-US" w:eastAsia="en-US"/>
    </w:rPr>
  </w:style>
  <w:style w:type="character" w:styleId="UnresolvedMention">
    <w:name w:val="Unresolved Mention"/>
    <w:basedOn w:val="DefaultParagraphFont"/>
    <w:uiPriority w:val="99"/>
    <w:semiHidden/>
    <w:unhideWhenUsed/>
    <w:qFormat/>
    <w:rsid w:val="00646b2c"/>
    <w:rPr>
      <w:color w:val="605E5C"/>
      <w:shd w:fill="E1DFDD" w:val="clear"/>
    </w:rPr>
  </w:style>
  <w:style w:type="character" w:styleId="TitleChar" w:customStyle="1">
    <w:name w:val="Title Char"/>
    <w:basedOn w:val="DefaultParagraphFont"/>
    <w:link w:val="Title"/>
    <w:uiPriority w:val="10"/>
    <w:qFormat/>
    <w:rsid w:val="00d21c40"/>
    <w:rPr>
      <w:rFonts w:ascii="Cambria" w:hAnsi="Cambria" w:eastAsia="ＭＳ ゴシック" w:cs="" w:asciiTheme="majorHAnsi" w:cstheme="majorBidi" w:eastAsiaTheme="majorEastAsia" w:hAnsiTheme="majorHAnsi"/>
      <w:caps/>
      <w:color w:val="1F497D" w:themeColor="text2"/>
      <w:spacing w:val="10"/>
      <w:sz w:val="52"/>
      <w:szCs w:val="52"/>
      <w:lang w:val="en-US"/>
    </w:rPr>
  </w:style>
  <w:style w:type="character" w:styleId="FollowedHyperlink">
    <w:name w:val="FollowedHyperlink"/>
    <w:basedOn w:val="DefaultParagraphFont"/>
    <w:uiPriority w:val="99"/>
    <w:semiHidden/>
    <w:unhideWhenUsed/>
    <w:qFormat/>
    <w:rsid w:val="00982347"/>
    <w:rPr>
      <w:color w:val="800080" w:themeColor="followedHyperlink"/>
      <w:u w:val="single"/>
    </w:rPr>
  </w:style>
  <w:style w:type="character" w:styleId="Heading1Char" w:customStyle="1">
    <w:name w:val="Heading 1 Char"/>
    <w:basedOn w:val="DefaultParagraphFont"/>
    <w:link w:val="Heading1"/>
    <w:uiPriority w:val="9"/>
    <w:qFormat/>
    <w:rsid w:val="000164fa"/>
    <w:rPr>
      <w:rFonts w:ascii="Cambria" w:hAnsi="Cambria" w:eastAsia="ＭＳ ゴシック" w:cs="" w:asciiTheme="majorHAnsi" w:cstheme="majorBidi" w:eastAsiaTheme="majorEastAsia" w:hAnsiTheme="majorHAnsi"/>
      <w:color w:val="365F91" w:themeColor="accent1" w:themeShade="bf"/>
      <w:sz w:val="32"/>
      <w:szCs w:val="32"/>
      <w:lang w:val="en-US" w:eastAsia="en-US"/>
    </w:rPr>
  </w:style>
  <w:style w:type="character" w:styleId="BalloonTextChar" w:customStyle="1">
    <w:name w:val="Balloon Text Char"/>
    <w:basedOn w:val="DefaultParagraphFont"/>
    <w:link w:val="BalloonText"/>
    <w:uiPriority w:val="99"/>
    <w:semiHidden/>
    <w:qFormat/>
    <w:rsid w:val="002b3a7b"/>
    <w:rPr>
      <w:rFonts w:ascii="Segoe UI" w:hAnsi="Segoe UI" w:eastAsia="Calibri" w:cs="Segoe UI" w:eastAsiaTheme="minorHAnsi"/>
      <w:sz w:val="18"/>
      <w:szCs w:val="18"/>
      <w:lang w:val="en-US" w:eastAsia="en-US"/>
    </w:rPr>
  </w:style>
  <w:style w:type="character" w:styleId="Annotationreference">
    <w:name w:val="annotation reference"/>
    <w:basedOn w:val="DefaultParagraphFont"/>
    <w:uiPriority w:val="99"/>
    <w:semiHidden/>
    <w:unhideWhenUsed/>
    <w:qFormat/>
    <w:rsid w:val="00c9127c"/>
    <w:rPr>
      <w:sz w:val="16"/>
      <w:szCs w:val="16"/>
    </w:rPr>
  </w:style>
  <w:style w:type="character" w:styleId="CommentTextChar" w:customStyle="1">
    <w:name w:val="Comment Text Char"/>
    <w:basedOn w:val="DefaultParagraphFont"/>
    <w:link w:val="CommentText"/>
    <w:uiPriority w:val="99"/>
    <w:semiHidden/>
    <w:qFormat/>
    <w:rsid w:val="00c9127c"/>
    <w:rPr>
      <w:rFonts w:eastAsia="Calibri" w:eastAsiaTheme="minorHAnsi"/>
      <w:sz w:val="20"/>
      <w:szCs w:val="20"/>
      <w:lang w:val="en-US" w:eastAsia="en-US"/>
    </w:rPr>
  </w:style>
  <w:style w:type="character" w:styleId="CommentSubjectChar" w:customStyle="1">
    <w:name w:val="Comment Subject Char"/>
    <w:basedOn w:val="CommentTextChar"/>
    <w:link w:val="CommentSubject"/>
    <w:uiPriority w:val="99"/>
    <w:semiHidden/>
    <w:qFormat/>
    <w:rsid w:val="00c9127c"/>
    <w:rPr>
      <w:rFonts w:eastAsia="Calibri" w:eastAsiaTheme="minorHAnsi"/>
      <w:b/>
      <w:bCs/>
      <w:sz w:val="20"/>
      <w:szCs w:val="20"/>
      <w:lang w:val="en-US" w:eastAsia="en-US"/>
    </w:rPr>
  </w:style>
  <w:style w:type="character" w:styleId="HeaderChar" w:customStyle="1">
    <w:name w:val="Header Char"/>
    <w:basedOn w:val="DefaultParagraphFont"/>
    <w:link w:val="Header"/>
    <w:uiPriority w:val="99"/>
    <w:semiHidden/>
    <w:qFormat/>
    <w:rsid w:val="00880f3f"/>
    <w:rPr>
      <w:rFonts w:eastAsia="Calibri" w:eastAsiaTheme="minorHAnsi"/>
      <w:sz w:val="24"/>
      <w:szCs w:val="24"/>
      <w:lang w:val="en-US" w:eastAsia="en-US"/>
    </w:rPr>
  </w:style>
  <w:style w:type="character" w:styleId="FooterChar" w:customStyle="1">
    <w:name w:val="Footer Char"/>
    <w:basedOn w:val="DefaultParagraphFont"/>
    <w:link w:val="Footer"/>
    <w:uiPriority w:val="99"/>
    <w:semiHidden/>
    <w:qFormat/>
    <w:rsid w:val="00880f3f"/>
    <w:rPr>
      <w:rFonts w:eastAsia="Calibri" w:eastAsiaTheme="minorHAnsi"/>
      <w:sz w:val="24"/>
      <w:szCs w:val="24"/>
      <w:lang w:val="en-US" w:eastAsia="en-US"/>
    </w:rPr>
  </w:style>
  <w:style w:type="character" w:styleId="Heading2Char" w:customStyle="1">
    <w:name w:val="Heading 2 Char"/>
    <w:basedOn w:val="DefaultParagraphFont"/>
    <w:link w:val="Heading2"/>
    <w:uiPriority w:val="9"/>
    <w:semiHidden/>
    <w:qFormat/>
    <w:rsid w:val="00474bae"/>
    <w:rPr>
      <w:rFonts w:ascii="Cambria" w:hAnsi="Cambria" w:eastAsia="ＭＳ ゴシック" w:cs="" w:asciiTheme="majorHAnsi" w:cstheme="majorBidi" w:eastAsiaTheme="majorEastAsia" w:hAnsiTheme="majorHAnsi"/>
      <w:color w:val="365F91" w:themeColor="accent1" w:themeShade="bf"/>
      <w:sz w:val="26"/>
      <w:szCs w:val="26"/>
      <w:lang w:val="en-US" w:eastAsia="en-US"/>
    </w:rPr>
  </w:style>
  <w:style w:type="character" w:styleId="ListLabel1">
    <w:name w:val="ListLabel 1"/>
    <w:qFormat/>
    <w:rPr>
      <w:b/>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b/>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SimSun" w:cs="Calibri"/>
      <w:b/>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sz w:val="20"/>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SimSun" w:cs="Calibri"/>
      <w:sz w:val="20"/>
    </w:rPr>
  </w:style>
  <w:style w:type="character" w:styleId="ListLabel45">
    <w:name w:val="ListLabel 45"/>
    <w:qFormat/>
    <w:rPr>
      <w:rFonts w:cs="Courier New"/>
      <w:sz w:val="20"/>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SimSun" w:cs="Calibri"/>
      <w:sz w:val="20"/>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eastAsia="SimSun" w:cs="Calibri"/>
      <w:b/>
      <w:sz w:val="20"/>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b/>
      <w:sz w:val="20"/>
    </w:rPr>
  </w:style>
  <w:style w:type="character" w:styleId="ListLabel56">
    <w:name w:val="ListLabel 56"/>
    <w:qFormat/>
    <w:rPr>
      <w:rFonts w:eastAsia="SimSun" w:cs="Calibri"/>
      <w:b/>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eastAsia="SimSun" w:cs="Calibri"/>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eastAsia="SimSun" w:cs="Calibri"/>
      <w:b/>
      <w:sz w:val="20"/>
    </w:rPr>
  </w:style>
  <w:style w:type="character" w:styleId="ListLabel83">
    <w:name w:val="ListLabel 83"/>
    <w:qFormat/>
    <w:rPr>
      <w:rFonts w:eastAsia="SimSun" w:cs="Calibri"/>
    </w:rPr>
  </w:style>
  <w:style w:type="character" w:styleId="ListLabel84">
    <w:name w:val="ListLabel 84"/>
    <w:qFormat/>
    <w:rPr>
      <w:sz w:val="20"/>
    </w:rPr>
  </w:style>
  <w:style w:type="character" w:styleId="ListLabel85">
    <w:name w:val="ListLabel 85"/>
    <w:qFormat/>
    <w:rPr>
      <w:rFonts w:eastAsia="SimSun" w:cs="Calibri"/>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rFonts w:eastAsia="SimSun" w:cs="Calibri"/>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rFonts w:eastAsia="SimSun" w:cs="Calibri"/>
      <w:b/>
      <w:sz w:val="20"/>
    </w:rPr>
  </w:style>
  <w:style w:type="character" w:styleId="ListLabel103">
    <w:name w:val="ListLabel 103"/>
    <w:qFormat/>
    <w:rPr>
      <w:rFonts w:eastAsia="SimSun" w:cs="Calibri"/>
      <w:sz w:val="20"/>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eastAsia="SimSun" w:cs="Calibri"/>
      <w:b/>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rFonts w:eastAsia="SimSun" w:cs="Calibri"/>
      <w:b/>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eastAsia="SimSun" w:cs="Calibri"/>
    </w:rPr>
  </w:style>
  <w:style w:type="character" w:styleId="ListLabel129">
    <w:name w:val="ListLabel 129"/>
    <w:qFormat/>
    <w:rPr>
      <w:rFonts w:eastAsia="SimSun" w:cs="Calibri"/>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eastAsia="SimSun" w:cs="Calibri"/>
      <w:b/>
      <w:sz w:val="20"/>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eastAsia="SimSun" w:cs="Calibri"/>
      <w:b/>
      <w:sz w:val="20"/>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eastAsia="SimSun" w:cs="Calibri"/>
      <w:sz w:val="20"/>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eastAsia="Calibri" w:cs="Calibri"/>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eastAsia="SimSun" w:cs="Calibri" w:cstheme="minorHAnsi"/>
      <w:bCs/>
      <w:sz w:val="20"/>
      <w:szCs w:val="20"/>
      <w:lang w:eastAsia="ja-JP"/>
    </w:rPr>
  </w:style>
  <w:style w:type="character" w:styleId="ListLabel159">
    <w:name w:val="ListLabel 159"/>
    <w:qFormat/>
    <w:rPr>
      <w:rFonts w:eastAsia="Calibri" w:cs="Calibri" w:cstheme="minorHAnsi"/>
      <w:bCs/>
      <w:sz w:val="20"/>
      <w:szCs w:val="20"/>
    </w:rPr>
  </w:style>
  <w:style w:type="character" w:styleId="ListLabel160">
    <w:name w:val="ListLabel 160"/>
    <w:qFormat/>
    <w:rPr>
      <w:rFonts w:eastAsia="SimSun" w:cs="Calibri" w:cstheme="minorHAnsi"/>
      <w:sz w:val="20"/>
      <w:szCs w:val="20"/>
    </w:rPr>
  </w:style>
  <w:style w:type="character" w:styleId="ListLabel161">
    <w:name w:val="ListLabel 161"/>
    <w:qFormat/>
    <w:rPr>
      <w:rFonts w:eastAsia="SimSun" w:cs="Calibri" w:cstheme="minorHAnsi"/>
      <w:b/>
      <w:sz w:val="20"/>
      <w:szCs w:val="20"/>
    </w:rPr>
  </w:style>
  <w:style w:type="character" w:styleId="ListLabel162">
    <w:name w:val="ListLabel 162"/>
    <w:qFormat/>
    <w:rPr>
      <w:rFonts w:cs="Calibri" w:cstheme="minorHAnsi"/>
      <w:sz w:val="20"/>
      <w:szCs w:val="20"/>
    </w:rPr>
  </w:style>
  <w:style w:type="character" w:styleId="ListLabel163">
    <w:name w:val="ListLabel 163"/>
    <w:qFormat/>
    <w:rPr>
      <w:rFonts w:cs="Calibri" w:cstheme="minorHAnsi"/>
      <w:bCs/>
      <w:sz w:val="20"/>
      <w:szCs w:val="20"/>
    </w:rPr>
  </w:style>
  <w:style w:type="character" w:styleId="ListLabel164">
    <w:name w:val="ListLabel 164"/>
    <w:qFormat/>
    <w:rPr>
      <w:rFonts w:eastAsia="SimSun" w:cs="Calibri" w:cstheme="minorHAnsi"/>
      <w:bCs/>
      <w:sz w:val="20"/>
      <w:szCs w:val="20"/>
    </w:rPr>
  </w:style>
  <w:style w:type="character" w:styleId="ListLabel165">
    <w:name w:val="ListLabel 165"/>
    <w:qFormat/>
    <w:rPr>
      <w:bCs/>
      <w:sz w:val="20"/>
      <w:szCs w:val="20"/>
    </w:rPr>
  </w:style>
  <w:style w:type="character" w:styleId="ListLabel166">
    <w:name w:val="ListLabel 166"/>
    <w:qFormat/>
    <w:rPr>
      <w:rFonts w:eastAsia="SimSun" w:cs="Calibri" w:cstheme="minorHAnsi"/>
      <w:b/>
      <w:bCs/>
      <w:sz w:val="20"/>
      <w:szCs w:val="20"/>
    </w:rPr>
  </w:style>
  <w:style w:type="character" w:styleId="ListLabel167">
    <w:name w:val="ListLabel 167"/>
    <w:qFormat/>
    <w:rPr>
      <w:rFonts w:eastAsia="SimSun" w:cs="Calibri" w:cstheme="minorHAnsi"/>
      <w:color w:val="000000" w:themeColor="text1"/>
      <w:sz w:val="20"/>
      <w:szCs w:val="20"/>
    </w:rPr>
  </w:style>
  <w:style w:type="character" w:styleId="ListLabel168">
    <w:name w:val="ListLabel 168"/>
    <w:qFormat/>
    <w:rPr>
      <w:rFonts w:eastAsia="SimSun" w:cs="Calibri" w:cstheme="minorHAnsi"/>
      <w:color w:val="000000" w:themeColor="text1"/>
      <w:sz w:val="20"/>
      <w:szCs w:val="20"/>
      <w:u w:val="single"/>
    </w:rPr>
  </w:style>
  <w:style w:type="character" w:styleId="ListLabel169">
    <w:name w:val="ListLabel 169"/>
    <w:qFormat/>
    <w:rPr>
      <w:rFonts w:eastAsia="Calibri" w:cs="Calibri" w:cstheme="minorHAnsi"/>
      <w:b/>
      <w:bCs/>
      <w:sz w:val="20"/>
      <w:szCs w:val="20"/>
    </w:rPr>
  </w:style>
  <w:style w:type="character" w:styleId="EndnoteAnchor">
    <w:name w:val="Endnote Anchor"/>
    <w:rPr>
      <w:vertAlign w:val="superscript"/>
    </w:rPr>
  </w:style>
  <w:style w:type="character" w:styleId="EndnoteCharacters">
    <w:name w:val="Endnote Characters"/>
    <w:qFormat/>
    <w:rPr/>
  </w:style>
  <w:style w:type="character" w:styleId="ListLabel170">
    <w:name w:val="ListLabel 170"/>
    <w:qFormat/>
    <w:rPr>
      <w:rFonts w:cs="Wingdings"/>
      <w:b/>
      <w:sz w:val="20"/>
    </w:rPr>
  </w:style>
  <w:style w:type="character" w:styleId="ListLabel171">
    <w:name w:val="ListLabel 171"/>
    <w:qFormat/>
    <w:rPr>
      <w:rFonts w:cs="Symbol"/>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Symbol"/>
      <w:b/>
      <w:sz w:val="20"/>
    </w:rPr>
  </w:style>
  <w:style w:type="character" w:styleId="ListLabel180">
    <w:name w:val="ListLabel 180"/>
    <w:qFormat/>
    <w:rPr>
      <w:rFonts w:cs="Courier New"/>
      <w:b/>
      <w:sz w:val="20"/>
    </w:rPr>
  </w:style>
  <w:style w:type="character" w:styleId="ListLabel181">
    <w:name w:val="ListLabel 181"/>
    <w:qFormat/>
    <w:rPr>
      <w:rFonts w:cs="Wingdings"/>
      <w:b/>
      <w:sz w:val="20"/>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b/>
      <w:sz w:val="20"/>
    </w:rPr>
  </w:style>
  <w:style w:type="character" w:styleId="ListLabel189">
    <w:name w:val="ListLabel 189"/>
    <w:qFormat/>
    <w:rPr>
      <w:rFonts w:cs="Calibri"/>
      <w:b/>
      <w:sz w:val="20"/>
    </w:rPr>
  </w:style>
  <w:style w:type="character" w:styleId="ListLabel190">
    <w:name w:val="ListLabel 190"/>
    <w:qFormat/>
    <w:rPr>
      <w:rFonts w:cs="Wingdings"/>
      <w:b/>
      <w:sz w:val="20"/>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b/>
      <w:sz w:val="20"/>
    </w:rPr>
  </w:style>
  <w:style w:type="character" w:styleId="ListLabel198">
    <w:name w:val="ListLabel 198"/>
    <w:qFormat/>
    <w:rPr>
      <w:rFonts w:cs="Symbol"/>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Wingdings"/>
      <w:b/>
      <w:sz w:val="20"/>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Wingdings"/>
      <w:b/>
      <w:sz w:val="20"/>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Wingdings"/>
      <w:sz w:val="20"/>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Wingdings"/>
      <w:sz w:val="20"/>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b/>
      <w:sz w:val="20"/>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sz w:val="20"/>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b/>
      <w:sz w:val="20"/>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b/>
      <w:sz w:val="20"/>
    </w:rPr>
  </w:style>
  <w:style w:type="character" w:styleId="ListLabel271">
    <w:name w:val="ListLabel 271"/>
    <w:qFormat/>
    <w:rPr>
      <w:rFonts w:cs="Calibri"/>
      <w:sz w:val="20"/>
    </w:rPr>
  </w:style>
  <w:style w:type="character" w:styleId="ListLabel272">
    <w:name w:val="ListLabel 272"/>
    <w:qFormat/>
    <w:rPr>
      <w:rFonts w:cs="Courier New"/>
      <w:sz w:val="20"/>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Calibri"/>
      <w:sz w:val="20"/>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sz w:val="20"/>
    </w:rPr>
  </w:style>
  <w:style w:type="character" w:styleId="ListLabel290">
    <w:name w:val="ListLabel 290"/>
    <w:qFormat/>
    <w:rPr>
      <w:rFonts w:cs="Symbol"/>
    </w:rPr>
  </w:style>
  <w:style w:type="character" w:styleId="ListLabel291">
    <w:name w:val="ListLabel 291"/>
    <w:qFormat/>
    <w:rPr>
      <w:rFonts w:cs="Calibri"/>
      <w:b/>
      <w:sz w:val="20"/>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b/>
      <w:sz w:val="20"/>
    </w:rPr>
  </w:style>
  <w:style w:type="character" w:styleId="ListLabel300">
    <w:name w:val="ListLabel 300"/>
    <w:qFormat/>
    <w:rPr>
      <w:rFonts w:cs="Calibri"/>
      <w:b/>
      <w:sz w:val="20"/>
    </w:rPr>
  </w:style>
  <w:style w:type="character" w:styleId="ListLabel301">
    <w:name w:val="ListLabel 301"/>
    <w:qFormat/>
    <w:rPr>
      <w:rFonts w:cs="Wingdings"/>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b/>
      <w:sz w:val="20"/>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b/>
      <w:sz w:val="20"/>
    </w:rPr>
  </w:style>
  <w:style w:type="character" w:styleId="ListLabel327">
    <w:name w:val="ListLabel 327"/>
    <w:qFormat/>
    <w:rPr>
      <w:rFonts w:cs="Symbol"/>
      <w:b/>
      <w:sz w:val="20"/>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b/>
      <w:sz w:val="20"/>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b/>
      <w:sz w:val="20"/>
    </w:rPr>
  </w:style>
  <w:style w:type="character" w:styleId="ListLabel346">
    <w:name w:val="ListLabel 346"/>
    <w:qFormat/>
    <w:rPr>
      <w:rFonts w:cs="Calibri"/>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sz w:val="20"/>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Calibri"/>
      <w:b/>
      <w:sz w:val="20"/>
    </w:rPr>
  </w:style>
  <w:style w:type="character" w:styleId="ListLabel364">
    <w:name w:val="ListLabel 364"/>
    <w:qFormat/>
    <w:rPr>
      <w:rFonts w:cs="Calibri"/>
    </w:rPr>
  </w:style>
  <w:style w:type="character" w:styleId="ListLabel365">
    <w:name w:val="ListLabel 365"/>
    <w:qFormat/>
    <w:rPr>
      <w:rFonts w:cs="Symbol"/>
      <w:sz w:val="20"/>
    </w:rPr>
  </w:style>
  <w:style w:type="character" w:styleId="ListLabel366">
    <w:name w:val="ListLabel 366"/>
    <w:qFormat/>
    <w:rPr>
      <w:rFonts w:cs="Calibri"/>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cs="Wingdings"/>
      <w:sz w:val="20"/>
    </w:rPr>
  </w:style>
  <w:style w:type="character" w:styleId="ListLabel371">
    <w:name w:val="ListLabel 371"/>
    <w:qFormat/>
    <w:rPr>
      <w:rFonts w:cs="Wingdings"/>
      <w:sz w:val="20"/>
    </w:rPr>
  </w:style>
  <w:style w:type="character" w:styleId="ListLabel372">
    <w:name w:val="ListLabel 372"/>
    <w:qFormat/>
    <w:rPr>
      <w:rFonts w:cs="Wingdings"/>
      <w:sz w:val="20"/>
    </w:rPr>
  </w:style>
  <w:style w:type="character" w:styleId="ListLabel373">
    <w:name w:val="ListLabel 373"/>
    <w:qFormat/>
    <w:rPr>
      <w:rFonts w:cs="Wingdings"/>
      <w:sz w:val="20"/>
    </w:rPr>
  </w:style>
  <w:style w:type="character" w:styleId="ListLabel374">
    <w:name w:val="ListLabel 374"/>
    <w:qFormat/>
    <w:rPr>
      <w:rFonts w:cs="Symbol"/>
      <w:b/>
      <w:sz w:val="20"/>
    </w:rPr>
  </w:style>
  <w:style w:type="character" w:styleId="ListLabel375">
    <w:name w:val="ListLabel 375"/>
    <w:qFormat/>
    <w:rPr>
      <w:rFonts w:cs="Calibri"/>
      <w:b/>
      <w:sz w:val="20"/>
    </w:rPr>
  </w:style>
  <w:style w:type="character" w:styleId="ListLabel376">
    <w:name w:val="ListLabel 376"/>
    <w:qFormat/>
    <w:rPr>
      <w:rFonts w:cs="Calibri"/>
      <w:sz w:val="20"/>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Calibri"/>
      <w:b/>
      <w:sz w:val="20"/>
    </w:rPr>
  </w:style>
  <w:style w:type="character" w:styleId="ListLabel386">
    <w:name w:val="ListLabel 386"/>
    <w:qFormat/>
    <w:rPr>
      <w:rFonts w:cs="Symbol"/>
      <w:sz w:val="20"/>
    </w:rPr>
  </w:style>
  <w:style w:type="character" w:styleId="ListLabel387">
    <w:name w:val="ListLabel 387"/>
    <w:qFormat/>
    <w:rPr>
      <w:rFonts w:cs="Wingdings"/>
      <w:sz w:val="20"/>
    </w:rPr>
  </w:style>
  <w:style w:type="character" w:styleId="ListLabel388">
    <w:name w:val="ListLabel 388"/>
    <w:qFormat/>
    <w:rPr>
      <w:rFonts w:cs="Wingdings"/>
      <w:sz w:val="20"/>
    </w:rPr>
  </w:style>
  <w:style w:type="character" w:styleId="ListLabel389">
    <w:name w:val="ListLabel 389"/>
    <w:qFormat/>
    <w:rPr>
      <w:rFonts w:cs="Wingdings"/>
      <w:sz w:val="20"/>
    </w:rPr>
  </w:style>
  <w:style w:type="character" w:styleId="ListLabel390">
    <w:name w:val="ListLabel 390"/>
    <w:qFormat/>
    <w:rPr>
      <w:rFonts w:cs="Wingdings"/>
      <w:sz w:val="20"/>
    </w:rPr>
  </w:style>
  <w:style w:type="character" w:styleId="ListLabel391">
    <w:name w:val="ListLabel 391"/>
    <w:qFormat/>
    <w:rPr>
      <w:rFonts w:cs="Wingdings"/>
      <w:sz w:val="20"/>
    </w:rPr>
  </w:style>
  <w:style w:type="character" w:styleId="ListLabel392">
    <w:name w:val="ListLabel 392"/>
    <w:qFormat/>
    <w:rPr>
      <w:rFonts w:cs="Wingdings"/>
      <w:sz w:val="20"/>
    </w:rPr>
  </w:style>
  <w:style w:type="character" w:styleId="ListLabel393">
    <w:name w:val="ListLabel 393"/>
    <w:qFormat/>
    <w:rPr>
      <w:rFonts w:cs="Wingdings"/>
      <w:sz w:val="20"/>
    </w:rPr>
  </w:style>
  <w:style w:type="character" w:styleId="ListLabel394">
    <w:name w:val="ListLabel 394"/>
    <w:qFormat/>
    <w:rPr>
      <w:rFonts w:cs="Symbol"/>
      <w:sz w:val="20"/>
    </w:rPr>
  </w:style>
  <w:style w:type="character" w:styleId="ListLabel395">
    <w:name w:val="ListLabel 395"/>
    <w:qFormat/>
    <w:rPr>
      <w:rFonts w:cs="Calibri"/>
      <w:b/>
      <w:sz w:val="20"/>
    </w:rPr>
  </w:style>
  <w:style w:type="character" w:styleId="ListLabel396">
    <w:name w:val="ListLabel 396"/>
    <w:qFormat/>
    <w:rPr>
      <w:rFonts w:cs="Wingdings"/>
      <w:sz w:val="20"/>
    </w:rPr>
  </w:style>
  <w:style w:type="character" w:styleId="ListLabel397">
    <w:name w:val="ListLabel 397"/>
    <w:qFormat/>
    <w:rPr>
      <w:rFonts w:cs="Wingdings"/>
      <w:sz w:val="20"/>
    </w:rPr>
  </w:style>
  <w:style w:type="character" w:styleId="ListLabel398">
    <w:name w:val="ListLabel 398"/>
    <w:qFormat/>
    <w:rPr>
      <w:rFonts w:cs="Wingdings"/>
      <w:sz w:val="20"/>
    </w:rPr>
  </w:style>
  <w:style w:type="character" w:styleId="ListLabel399">
    <w:name w:val="ListLabel 399"/>
    <w:qFormat/>
    <w:rPr>
      <w:rFonts w:cs="Wingdings"/>
      <w:sz w:val="20"/>
    </w:rPr>
  </w:style>
  <w:style w:type="character" w:styleId="ListLabel400">
    <w:name w:val="ListLabel 400"/>
    <w:qFormat/>
    <w:rPr>
      <w:rFonts w:cs="Wingdings"/>
      <w:sz w:val="20"/>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Symbol"/>
      <w:b/>
      <w:sz w:val="20"/>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b/>
      <w:sz w:val="20"/>
    </w:rPr>
  </w:style>
  <w:style w:type="character" w:styleId="ListLabel413">
    <w:name w:val="ListLabel 413"/>
    <w:qFormat/>
    <w:rPr>
      <w:rFonts w:cs="Calibri"/>
    </w:rPr>
  </w:style>
  <w:style w:type="character" w:styleId="ListLabel414">
    <w:name w:val="ListLabel 414"/>
    <w:qFormat/>
    <w:rPr>
      <w:rFonts w:cs="Calibri"/>
      <w:b/>
      <w:sz w:val="20"/>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Wingdings"/>
      <w:b/>
      <w:sz w:val="20"/>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b/>
      <w:sz w:val="20"/>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Calibri"/>
      <w:b/>
      <w:sz w:val="20"/>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Calibri"/>
      <w:sz w:val="20"/>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Symbol"/>
      <w:sz w:val="20"/>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Symbol"/>
      <w:sz w:val="20"/>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Symbol"/>
      <w:sz w:val="20"/>
    </w:rPr>
  </w:style>
  <w:style w:type="character" w:styleId="ListLabel479">
    <w:name w:val="ListLabel 479"/>
    <w:qFormat/>
    <w:rPr>
      <w:rFonts w:cs="Calibri"/>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eastAsia="SimSun" w:cs="Calibri" w:cstheme="minorHAnsi"/>
      <w:bCs/>
      <w:sz w:val="20"/>
      <w:szCs w:val="20"/>
      <w:lang w:eastAsia="ja-JP"/>
    </w:rPr>
  </w:style>
  <w:style w:type="character" w:styleId="ListLabel487">
    <w:name w:val="ListLabel 487"/>
    <w:qFormat/>
    <w:rPr>
      <w:rFonts w:eastAsia="Calibri" w:cs="Calibri" w:cstheme="minorHAnsi"/>
      <w:bCs/>
      <w:sz w:val="20"/>
      <w:szCs w:val="20"/>
    </w:rPr>
  </w:style>
  <w:style w:type="character" w:styleId="ListLabel488">
    <w:name w:val="ListLabel 488"/>
    <w:qFormat/>
    <w:rPr>
      <w:rFonts w:eastAsia="SimSun" w:cs="Calibri" w:cstheme="minorHAnsi"/>
      <w:sz w:val="20"/>
      <w:szCs w:val="20"/>
    </w:rPr>
  </w:style>
  <w:style w:type="character" w:styleId="ListLabel489">
    <w:name w:val="ListLabel 489"/>
    <w:qFormat/>
    <w:rPr>
      <w:rFonts w:eastAsia="SimSun" w:cs="Calibri" w:cstheme="minorHAnsi"/>
      <w:b/>
      <w:sz w:val="20"/>
      <w:szCs w:val="20"/>
    </w:rPr>
  </w:style>
  <w:style w:type="character" w:styleId="ListLabel490">
    <w:name w:val="ListLabel 490"/>
    <w:qFormat/>
    <w:rPr>
      <w:rFonts w:cs="Calibri" w:cstheme="minorHAnsi"/>
      <w:sz w:val="20"/>
      <w:szCs w:val="20"/>
    </w:rPr>
  </w:style>
  <w:style w:type="character" w:styleId="ListLabel491">
    <w:name w:val="ListLabel 491"/>
    <w:qFormat/>
    <w:rPr>
      <w:rFonts w:cs="Calibri" w:cstheme="minorHAnsi"/>
      <w:bCs/>
      <w:sz w:val="20"/>
      <w:szCs w:val="20"/>
    </w:rPr>
  </w:style>
  <w:style w:type="character" w:styleId="ListLabel492">
    <w:name w:val="ListLabel 492"/>
    <w:qFormat/>
    <w:rPr>
      <w:rFonts w:eastAsia="SimSun" w:cs="Calibri" w:cstheme="minorHAnsi"/>
      <w:bCs/>
      <w:sz w:val="20"/>
      <w:szCs w:val="20"/>
    </w:rPr>
  </w:style>
  <w:style w:type="character" w:styleId="ListLabel493">
    <w:name w:val="ListLabel 493"/>
    <w:qFormat/>
    <w:rPr>
      <w:bCs/>
      <w:sz w:val="20"/>
      <w:szCs w:val="20"/>
    </w:rPr>
  </w:style>
  <w:style w:type="character" w:styleId="ListLabel494">
    <w:name w:val="ListLabel 494"/>
    <w:qFormat/>
    <w:rPr>
      <w:rFonts w:eastAsia="SimSun" w:cs="Calibri" w:cstheme="minorHAnsi"/>
      <w:b/>
      <w:bCs/>
      <w:sz w:val="20"/>
      <w:szCs w:val="20"/>
    </w:rPr>
  </w:style>
  <w:style w:type="character" w:styleId="ListLabel495">
    <w:name w:val="ListLabel 495"/>
    <w:qFormat/>
    <w:rPr>
      <w:rFonts w:eastAsia="SimSun" w:cs="Calibri" w:cstheme="minorHAnsi"/>
      <w:color w:val="000000" w:themeColor="text1"/>
      <w:sz w:val="20"/>
      <w:szCs w:val="20"/>
    </w:rPr>
  </w:style>
  <w:style w:type="character" w:styleId="ListLabel496">
    <w:name w:val="ListLabel 496"/>
    <w:qFormat/>
    <w:rPr>
      <w:rFonts w:eastAsia="SimSun" w:cs="Calibri" w:cstheme="minorHAnsi"/>
      <w:color w:val="000000" w:themeColor="text1"/>
      <w:sz w:val="20"/>
      <w:szCs w:val="20"/>
      <w:u w:val="single"/>
    </w:rPr>
  </w:style>
  <w:style w:type="character" w:styleId="ListLabel497">
    <w:name w:val="ListLabel 497"/>
    <w:qFormat/>
    <w:rPr>
      <w:rFonts w:eastAsia="Calibri" w:cs="Calibri" w:cstheme="minorHAnsi"/>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ootnoteTextChar"/>
    <w:uiPriority w:val="99"/>
    <w:unhideWhenUsed/>
    <w:rsid w:val="00e52a24"/>
    <w:pPr/>
    <w:rPr/>
  </w:style>
  <w:style w:type="paragraph" w:styleId="ListParagraph">
    <w:name w:val="List Paragraph"/>
    <w:basedOn w:val="Normal"/>
    <w:link w:val="ListParagraphChar"/>
    <w:uiPriority w:val="34"/>
    <w:qFormat/>
    <w:rsid w:val="00e52a24"/>
    <w:pPr>
      <w:spacing w:before="0" w:after="0"/>
      <w:ind w:left="720" w:hanging="0"/>
      <w:contextualSpacing/>
    </w:pPr>
    <w:rPr/>
  </w:style>
  <w:style w:type="paragraph" w:styleId="NoSpacing">
    <w:name w:val="No Spacing"/>
    <w:link w:val="NoSpacingChar"/>
    <w:uiPriority w:val="1"/>
    <w:qFormat/>
    <w:rsid w:val="00e52a24"/>
    <w:pPr>
      <w:widowControl/>
      <w:bidi w:val="0"/>
      <w:spacing w:lineRule="auto" w:line="240" w:before="0" w:after="0"/>
      <w:jc w:val="left"/>
    </w:pPr>
    <w:rPr>
      <w:rFonts w:ascii="Calibri" w:hAnsi="Calibri" w:eastAsia="Calibri" w:cs="" w:eastAsiaTheme="minorHAnsi"/>
      <w:color w:val="auto"/>
      <w:kern w:val="0"/>
      <w:sz w:val="24"/>
      <w:szCs w:val="24"/>
      <w:lang w:val="en-US" w:eastAsia="en-US" w:bidi="ar-SA"/>
    </w:rPr>
  </w:style>
  <w:style w:type="paragraph" w:styleId="Title">
    <w:name w:val="Title"/>
    <w:basedOn w:val="Normal"/>
    <w:next w:val="Normal"/>
    <w:link w:val="TitleChar"/>
    <w:uiPriority w:val="10"/>
    <w:qFormat/>
    <w:rsid w:val="00d21c40"/>
    <w:pPr>
      <w:spacing w:lineRule="auto" w:line="264"/>
    </w:pPr>
    <w:rPr>
      <w:rFonts w:ascii="Cambria" w:hAnsi="Cambria" w:eastAsia="ＭＳ ゴシック" w:cs="" w:asciiTheme="majorHAnsi" w:cstheme="majorBidi" w:eastAsiaTheme="majorEastAsia" w:hAnsiTheme="majorHAnsi"/>
      <w:caps/>
      <w:color w:val="1F497D" w:themeColor="text2"/>
      <w:spacing w:val="10"/>
      <w:sz w:val="52"/>
      <w:szCs w:val="52"/>
      <w:lang w:eastAsia="ja-JP"/>
    </w:rPr>
  </w:style>
  <w:style w:type="paragraph" w:styleId="BalloonText">
    <w:name w:val="Balloon Text"/>
    <w:basedOn w:val="Normal"/>
    <w:link w:val="BalloonTextChar"/>
    <w:uiPriority w:val="99"/>
    <w:semiHidden/>
    <w:unhideWhenUsed/>
    <w:qFormat/>
    <w:rsid w:val="002b3a7b"/>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c9127c"/>
    <w:pPr/>
    <w:rPr>
      <w:sz w:val="20"/>
      <w:szCs w:val="20"/>
    </w:rPr>
  </w:style>
  <w:style w:type="paragraph" w:styleId="Annotationsubject">
    <w:name w:val="annotation subject"/>
    <w:basedOn w:val="Annotationtext"/>
    <w:link w:val="CommentSubjectChar"/>
    <w:uiPriority w:val="99"/>
    <w:semiHidden/>
    <w:unhideWhenUsed/>
    <w:qFormat/>
    <w:rsid w:val="00c9127c"/>
    <w:pPr/>
    <w:rPr>
      <w:b/>
      <w:bCs/>
    </w:rPr>
  </w:style>
  <w:style w:type="paragraph" w:styleId="Header">
    <w:name w:val="Header"/>
    <w:basedOn w:val="Normal"/>
    <w:link w:val="HeaderChar"/>
    <w:uiPriority w:val="99"/>
    <w:semiHidden/>
    <w:unhideWhenUsed/>
    <w:rsid w:val="00880f3f"/>
    <w:pPr>
      <w:tabs>
        <w:tab w:val="center" w:pos="4680" w:leader="none"/>
        <w:tab w:val="right" w:pos="9360" w:leader="none"/>
      </w:tabs>
    </w:pPr>
    <w:rPr/>
  </w:style>
  <w:style w:type="paragraph" w:styleId="Footer">
    <w:name w:val="Footer"/>
    <w:basedOn w:val="Normal"/>
    <w:link w:val="FooterChar"/>
    <w:uiPriority w:val="99"/>
    <w:semiHidden/>
    <w:unhideWhenUsed/>
    <w:rsid w:val="00880f3f"/>
    <w:pPr>
      <w:tabs>
        <w:tab w:val="center" w:pos="4680" w:leader="none"/>
        <w:tab w:val="right" w:pos="9360" w:leader="none"/>
      </w:tabs>
    </w:pPr>
    <w:rPr/>
  </w:style>
  <w:style w:type="paragraph" w:styleId="Default" w:customStyle="1">
    <w:name w:val="Default"/>
    <w:qFormat/>
    <w:rsid w:val="00002212"/>
    <w:pPr>
      <w:widowControl/>
      <w:bidi w:val="0"/>
      <w:spacing w:lineRule="auto" w:line="240" w:before="0" w:after="0"/>
      <w:jc w:val="left"/>
    </w:pPr>
    <w:rPr>
      <w:rFonts w:ascii="Times New Roman" w:hAnsi="Times New Roman" w:eastAsia="ＭＳ 明朝" w:cs="Times New Roman"/>
      <w:color w:val="000000"/>
      <w:kern w:val="0"/>
      <w:sz w:val="24"/>
      <w:szCs w:val="24"/>
      <w:lang w:val="en-US"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52a24"/>
    <w:pPr>
      <w:spacing w:before="120" w:after="0" w:line="240" w:lineRule="auto"/>
    </w:pPr>
    <w:rPr>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Tablaconcuadrcula1">
    <w:name w:val="Tabla con cuadrícula1"/>
    <w:basedOn w:val="TableNormal"/>
    <w:uiPriority w:val="59"/>
    <w:rsid w:val="00e52a24"/>
    <w:pPr>
      <w:spacing w:after="0" w:line="240" w:lineRule="auto"/>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tranet.who.int/sph/jee-dashboard" TargetMode="External"/><Relationship Id="rId3" Type="http://schemas.openxmlformats.org/officeDocument/2006/relationships/hyperlink" Target="https://extranet.who.int/sph/ihrmef" TargetMode="External"/><Relationship Id="rId4" Type="http://schemas.openxmlformats.org/officeDocument/2006/relationships/hyperlink" Target="https://www.who.int/publications-detail/national-capacities-review-tool-for-a-novel-coronavirus-(ncov)" TargetMode="External"/><Relationship Id="rId5" Type="http://schemas.openxmlformats.org/officeDocument/2006/relationships/hyperlink" Target="https://extranet.who.int/sph/jee-dashboard" TargetMode="External"/><Relationship Id="rId6" Type="http://schemas.openxmlformats.org/officeDocument/2006/relationships/hyperlink" Target="https://extranet.who.int/sph/spar" TargetMode="External"/><Relationship Id="rId7" Type="http://schemas.openxmlformats.org/officeDocument/2006/relationships/hyperlink" Target="https://extranet.who.int/sph/country-planning" TargetMode="External"/><Relationship Id="rId8" Type="http://schemas.openxmlformats.org/officeDocument/2006/relationships/hyperlink" Target="https://unicef.sharepoint.com/teams/emops/epp/pages/home.aspx?wa=wsignin1.0&amp;web=1" TargetMode="External"/><Relationship Id="rId9" Type="http://schemas.openxmlformats.org/officeDocument/2006/relationships/hyperlink" Target="https://www.who.int/emergencies/diseases/novel-coronavirus-2019/technical-guidance" TargetMode="External"/><Relationship Id="rId10" Type="http://schemas.openxmlformats.org/officeDocument/2006/relationships/hyperlink" Target="https://www.who.int/emergencies/diseases/novel-coronavirus-2019/situation-reports" TargetMode="External"/><Relationship Id="rId11" Type="http://schemas.openxmlformats.org/officeDocument/2006/relationships/hyperlink" Target="https://www.who.int/publications-detail/advice-on-the-use-of-masks-the-community-during-home-care-and-in-health-care-settings-in-the-context-of-the-novel-coronavirus-(2019-ncov)-outbreak" TargetMode="External"/><Relationship Id="rId12" Type="http://schemas.openxmlformats.org/officeDocument/2006/relationships/hyperlink" Target="https://www.who.int/emergencies/diseases/novel-coronavirus-2019/technical-guidance" TargetMode="External"/><Relationship Id="rId13" Type="http://schemas.openxmlformats.org/officeDocument/2006/relationships/hyperlink" Target="https://hr.un.org/page/novel-coronavirus-2019-ncov" TargetMode="External"/><Relationship Id="rId14" Type="http://schemas.openxmlformats.org/officeDocument/2006/relationships/hyperlink" Target="https://www.unicef.org/emergencies/files/UNICEF_Preparedness_Guidance_Note_29_Dec__2016_.pdf" TargetMode="External"/><Relationship Id="rId15" Type="http://schemas.openxmlformats.org/officeDocument/2006/relationships/hyperlink" Target="https://www.who.int/publications-detail/risk-communication-and-community-engagement-readiness-and-initial-response-for-novel-coronaviruses-(-ncov)" TargetMode="External"/><Relationship Id="rId16" Type="http://schemas.openxmlformats.org/officeDocument/2006/relationships/hyperlink" Target="https://unicef-my.sharepoint.com/personal/marii_unicef_org/Documents/Epidemics/China-plus nCoV/nCoV Quick Note/ncies/diseases/novel-coronavirus-2019/technical-guidance" TargetMode="External"/><Relationship Id="rId17" Type="http://schemas.openxmlformats.org/officeDocument/2006/relationships/hyperlink" Target="https://www.who.int/emergencies/diseases/novel-coronavirus-2019/technical-guidance" TargetMode="External"/><Relationship Id="rId18" Type="http://schemas.openxmlformats.org/officeDocument/2006/relationships/hyperlink" Target="https://unicef-my.sharepoint.com/personal/marii_unicef_org/Documents/Epidemics/China-plus nCoV/nCoV Quick Note/ncies/diseases/novel-coronavirus-2019/technical-guidance" TargetMode="External"/><Relationship Id="rId19" Type="http://schemas.openxmlformats.org/officeDocument/2006/relationships/hyperlink" Target="https://unicef-my.sharepoint.com/personal/marii_unicef_org/Documents/Epidemics/China-plus nCoV/nCoV Quick Note/ncies/diseases/novel-coronavirus-2019/technical-guidance" TargetMode="External"/><Relationship Id="rId20" Type="http://schemas.openxmlformats.org/officeDocument/2006/relationships/hyperlink" Target="https://www.who.int/emergencies/diseases/novel-coronavirus-2019/technical-guidance" TargetMode="External"/><Relationship Id="rId21" Type="http://schemas.openxmlformats.org/officeDocument/2006/relationships/hyperlink" Target="https://www.who.int/emergencies/diseases/novel-coronavirus-2019/travel-advice" TargetMode="External"/><Relationship Id="rId22" Type="http://schemas.openxmlformats.org/officeDocument/2006/relationships/hyperlink" Target="https://hr.un.org/page/novel-coronavirus-2019-ncov" TargetMode="External"/><Relationship Id="rId23" Type="http://schemas.openxmlformats.org/officeDocument/2006/relationships/hyperlink" Target="https://unicef.sharepoint.com/:w:/r/teams/EMOPS/PHEmergencies/_layouts/15/WopiFrame.aspx?sourcedoc={7f593ca1-9114-498f-a739-973ec15e7e33}&amp;action=default" TargetMode="External"/><Relationship Id="rId24" Type="http://schemas.openxmlformats.org/officeDocument/2006/relationships/hyperlink" Target="https://unicef.sharepoint.com/teams/EMOPS/PHEmergencies/Document Library/Healt Emergency Funding Appeal Checklist.pdf?slrid=efeb349e-d030-4000-cd45-e77bfaa87fea" TargetMode="External"/><Relationship Id="rId25" Type="http://schemas.openxmlformats.org/officeDocument/2006/relationships/hyperlink" Target="https://www.who.int/health-topics/coronavirus" TargetMode="External"/><Relationship Id="rId26" Type="http://schemas.openxmlformats.org/officeDocument/2006/relationships/hyperlink" Target="https://www.who.int/news-room/q-a-detail/q-a-coronaviruses" TargetMode="External"/><Relationship Id="rId27" Type="http://schemas.openxmlformats.org/officeDocument/2006/relationships/hyperlink" Target="https://www.who.int/emergencies/diseases/novel-coronavirus-2019/situation-reports" TargetMode="External"/><Relationship Id="rId28" Type="http://schemas.openxmlformats.org/officeDocument/2006/relationships/hyperlink" Target="https://www.who.int/csr/don/en/" TargetMode="External"/><Relationship Id="rId29" Type="http://schemas.openxmlformats.org/officeDocument/2006/relationships/hyperlink" Target="https://www.who.int/emergencies/diseases/novel-coronavirus-2019/technical-guidance" TargetMode="External"/><Relationship Id="rId30" Type="http://schemas.openxmlformats.org/officeDocument/2006/relationships/hyperlink" Target="https://www.who.int/emergencies/diseases/novel-coronavirus-2019/travel-advice" TargetMode="External"/><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Relationship Id="rId37" Type="http://schemas.openxmlformats.org/officeDocument/2006/relationships/customXml" Target="../customXml/item2.xml"/><Relationship Id="rId38" Type="http://schemas.openxmlformats.org/officeDocument/2006/relationships/customXml" Target="../customXml/item3.xml"/><Relationship Id="rId39" Type="http://schemas.openxmlformats.org/officeDocument/2006/relationships/customXml" Target="../customXml/item4.xml"/>
</Relationships>
</file>

<file path=word/_rels/footnotes.xml.rels><?xml version="1.0" encoding="UTF-8"?>
<Relationships xmlns="http://schemas.openxmlformats.org/package/2006/relationships"><Relationship Id="rId1" Type="http://schemas.openxmlformats.org/officeDocument/2006/relationships/hyperlink" Target="http://www.unicefinemergencies.com/procedure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110DB283BDE194D85A868A1649E50AE" ma:contentTypeVersion="13" ma:contentTypeDescription="Create a new document." ma:contentTypeScope="" ma:versionID="06f855b6ab334431cf3966e5d302edec">
  <xsd:schema xmlns:xsd="http://www.w3.org/2001/XMLSchema" xmlns:xs="http://www.w3.org/2001/XMLSchema" xmlns:p="http://schemas.microsoft.com/office/2006/metadata/properties" xmlns:ns3="b124af49-5879-4db5-a58e-d7a3242088ff" xmlns:ns4="498b1c2d-0cd9-495d-b21d-6cffad035f1f" targetNamespace="http://schemas.microsoft.com/office/2006/metadata/properties" ma:root="true" ma:fieldsID="3ac468e51ee919fe108ef56d890f10ee" ns3:_="" ns4:_="">
    <xsd:import namespace="b124af49-5879-4db5-a58e-d7a3242088ff"/>
    <xsd:import namespace="498b1c2d-0cd9-495d-b21d-6cffad035f1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24af49-5879-4db5-a58e-d7a3242088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8b1c2d-0cd9-495d-b21d-6cffad035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2306DA-6B2E-444C-84DD-938BCECD23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11544C-18D9-4908-9884-431AAEF92CF8}">
  <ds:schemaRefs>
    <ds:schemaRef ds:uri="http://schemas.microsoft.com/sharepoint/v3/contenttype/forms"/>
  </ds:schemaRefs>
</ds:datastoreItem>
</file>

<file path=customXml/itemProps3.xml><?xml version="1.0" encoding="utf-8"?>
<ds:datastoreItem xmlns:ds="http://schemas.openxmlformats.org/officeDocument/2006/customXml" ds:itemID="{E2B9CF4A-4B10-4557-80CB-8C228E2CADB2}">
  <ds:schemaRefs>
    <ds:schemaRef ds:uri="http://schemas.openxmlformats.org/officeDocument/2006/bibliography"/>
  </ds:schemaRefs>
</ds:datastoreItem>
</file>

<file path=customXml/itemProps4.xml><?xml version="1.0" encoding="utf-8"?>
<ds:datastoreItem xmlns:ds="http://schemas.openxmlformats.org/officeDocument/2006/customXml" ds:itemID="{90EE965E-A95E-48AD-9A06-538EAD374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24af49-5879-4db5-a58e-d7a3242088ff"/>
    <ds:schemaRef ds:uri="498b1c2d-0cd9-495d-b21d-6cffad035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Application>LibreOffice/6.0.7.3$Linux_X86_64 LibreOffice_project/00m0$Build-3</Application>
  <Pages>14</Pages>
  <Words>4725</Words>
  <Characters>29653</Characters>
  <CharactersWithSpaces>33984</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2020-02-06T12:00:00Z</dcterms:created>
  <dc:creator>Maya Arii</dc:creator>
  <dc:description/>
  <dc:language>en-ZA</dc:language>
  <cp:lastModifiedBy/>
  <cp:lastPrinted>2020-02-05T20:07:00Z</cp:lastPrinted>
  <dcterms:modified xsi:type="dcterms:W3CDTF">2020-03-19T17:49:18Z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0x010100B110DB283BDE194D85A868A1649E50AE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