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96E38B8" w14:textId="344FC273" w:rsidR="00291A08" w:rsidRDefault="00C53954">
      <w:pPr>
        <w:pBdr>
          <w:top w:val="nil"/>
          <w:left w:val="nil"/>
          <w:bottom w:val="nil"/>
          <w:right w:val="nil"/>
          <w:between w:val="nil"/>
        </w:pBdr>
        <w:spacing w:after="280"/>
        <w:jc w:val="center"/>
        <w:rPr>
          <w:rFonts w:ascii="Calibri" w:eastAsia="Calibri" w:hAnsi="Calibri" w:cs="Calibri"/>
          <w:b/>
          <w:sz w:val="22"/>
          <w:szCs w:val="22"/>
          <w:vertAlign w:val="superscript"/>
        </w:rPr>
      </w:pPr>
      <w:r>
        <w:rPr>
          <w:rFonts w:ascii="Calibri" w:eastAsia="Calibri" w:hAnsi="Calibri" w:cs="Calibri"/>
          <w:b/>
          <w:color w:val="000000"/>
          <w:sz w:val="28"/>
          <w:szCs w:val="28"/>
        </w:rPr>
        <w:t>Polites: A Tool for the Automation of OHDSI Implementations</w:t>
      </w:r>
    </w:p>
    <w:p w14:paraId="7482BE03" w14:textId="761C9B6B" w:rsidR="00291A08" w:rsidRDefault="00291A08">
      <w:pPr>
        <w:pBdr>
          <w:top w:val="nil"/>
          <w:left w:val="nil"/>
          <w:bottom w:val="nil"/>
          <w:right w:val="nil"/>
          <w:between w:val="nil"/>
        </w:pBdr>
        <w:jc w:val="center"/>
        <w:rPr>
          <w:rFonts w:ascii="Calibri" w:eastAsia="Calibri" w:hAnsi="Calibri" w:cs="Calibri"/>
          <w:b/>
          <w:sz w:val="22"/>
          <w:szCs w:val="22"/>
        </w:rPr>
      </w:pPr>
    </w:p>
    <w:p w14:paraId="56C06AC1" w14:textId="0431BAFC" w:rsidR="00291A08" w:rsidRDefault="00C53954">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 xml:space="preserve">John Gresh, Julia Skapik </w:t>
      </w:r>
      <w:r>
        <w:rPr>
          <w:rFonts w:ascii="Calibri" w:eastAsia="Calibri" w:hAnsi="Calibri" w:cs="Calibri"/>
          <w:b/>
          <w:sz w:val="22"/>
          <w:szCs w:val="22"/>
        </w:rPr>
        <w:br/>
        <w:t>Curlew Consulting, National Association of Community Health Centers</w:t>
      </w:r>
    </w:p>
    <w:p w14:paraId="2ECC5D15" w14:textId="77777777" w:rsidR="00291A08" w:rsidRDefault="00291A08">
      <w:pPr>
        <w:pBdr>
          <w:top w:val="nil"/>
          <w:left w:val="nil"/>
          <w:bottom w:val="nil"/>
          <w:right w:val="nil"/>
          <w:between w:val="nil"/>
        </w:pBdr>
        <w:jc w:val="center"/>
        <w:rPr>
          <w:rFonts w:ascii="Calibri" w:eastAsia="Calibri" w:hAnsi="Calibri" w:cs="Calibri"/>
          <w:b/>
          <w:sz w:val="22"/>
          <w:szCs w:val="22"/>
        </w:rPr>
        <w:sectPr w:rsidR="00291A08">
          <w:footerReference w:type="default" r:id="rId7"/>
          <w:pgSz w:w="12240" w:h="15840"/>
          <w:pgMar w:top="1440" w:right="1440" w:bottom="1440" w:left="1440" w:header="0" w:footer="720" w:gutter="0"/>
          <w:pgNumType w:start="1"/>
          <w:cols w:space="720"/>
        </w:sectPr>
      </w:pPr>
    </w:p>
    <w:p w14:paraId="711BC8D7" w14:textId="77777777" w:rsidR="00291A08" w:rsidRDefault="00000000">
      <w:pPr>
        <w:keepNext/>
        <w:pBdr>
          <w:top w:val="nil"/>
          <w:left w:val="nil"/>
          <w:bottom w:val="nil"/>
          <w:right w:val="nil"/>
          <w:between w:val="nil"/>
        </w:pBdr>
        <w:spacing w:before="120" w:after="120"/>
        <w:jc w:val="both"/>
        <w:rPr>
          <w:rFonts w:ascii="Calibri" w:eastAsia="Calibri" w:hAnsi="Calibri" w:cs="Calibri"/>
          <w:b/>
          <w:color w:val="000000"/>
          <w:sz w:val="22"/>
          <w:szCs w:val="22"/>
        </w:rPr>
      </w:pPr>
      <w:r>
        <w:rPr>
          <w:rFonts w:ascii="Calibri" w:eastAsia="Calibri" w:hAnsi="Calibri" w:cs="Calibri"/>
          <w:b/>
          <w:sz w:val="22"/>
          <w:szCs w:val="22"/>
        </w:rPr>
        <w:t>Background</w:t>
      </w:r>
    </w:p>
    <w:p w14:paraId="51F4D49E" w14:textId="429609CF" w:rsidR="00291A08" w:rsidRPr="00AC0B67" w:rsidRDefault="00C53954" w:rsidP="00AC0B67">
      <w:pPr>
        <w:pBdr>
          <w:top w:val="nil"/>
          <w:left w:val="nil"/>
          <w:bottom w:val="nil"/>
          <w:right w:val="nil"/>
          <w:between w:val="nil"/>
        </w:pBdr>
        <w:spacing w:after="120"/>
        <w:jc w:val="both"/>
        <w:rPr>
          <w:rFonts w:ascii="Calibri" w:eastAsia="Calibri" w:hAnsi="Calibri" w:cs="Calibri"/>
          <w:color w:val="000000"/>
          <w:sz w:val="22"/>
          <w:szCs w:val="22"/>
        </w:rPr>
      </w:pPr>
      <w:r>
        <w:rPr>
          <w:rFonts w:ascii="Calibri" w:eastAsia="Calibri" w:hAnsi="Calibri" w:cs="Calibri"/>
          <w:color w:val="000000"/>
          <w:sz w:val="22"/>
          <w:szCs w:val="22"/>
        </w:rPr>
        <w:t>Polites</w:t>
      </w:r>
      <w:r w:rsidRPr="00C53954">
        <w:rPr>
          <w:rFonts w:ascii="Calibri" w:eastAsia="Calibri" w:hAnsi="Calibri" w:cs="Calibri"/>
          <w:color w:val="000000"/>
          <w:sz w:val="22"/>
          <w:szCs w:val="22"/>
          <w:vertAlign w:val="superscript"/>
        </w:rPr>
        <w:t>1</w:t>
      </w:r>
      <w:r>
        <w:rPr>
          <w:rFonts w:ascii="Calibri" w:eastAsia="Calibri" w:hAnsi="Calibri" w:cs="Calibri"/>
          <w:color w:val="000000"/>
          <w:sz w:val="22"/>
          <w:szCs w:val="22"/>
        </w:rPr>
        <w:t xml:space="preserve"> is a Java based tool that enables the automation of complete OHDSI implementations for either standalone (non-Docker) or Broadsea</w:t>
      </w:r>
      <w:r w:rsidRPr="00C53954">
        <w:rPr>
          <w:rFonts w:ascii="Calibri" w:eastAsia="Calibri" w:hAnsi="Calibri" w:cs="Calibri"/>
          <w:color w:val="000000"/>
          <w:sz w:val="22"/>
          <w:szCs w:val="22"/>
          <w:vertAlign w:val="superscript"/>
        </w:rPr>
        <w:t>2</w:t>
      </w:r>
      <w:r>
        <w:rPr>
          <w:rFonts w:ascii="Calibri" w:eastAsia="Calibri" w:hAnsi="Calibri" w:cs="Calibri"/>
          <w:color w:val="000000"/>
          <w:sz w:val="22"/>
          <w:szCs w:val="22"/>
        </w:rPr>
        <w:t xml:space="preserve"> based OHDSI deployments.</w:t>
      </w:r>
      <w:r w:rsidR="00C954A5" w:rsidRPr="00C954A5">
        <w:rPr>
          <w:rFonts w:ascii="Calibri" w:eastAsia="Calibri" w:hAnsi="Calibri" w:cs="Calibri"/>
          <w:color w:val="000000"/>
          <w:sz w:val="22"/>
          <w:szCs w:val="22"/>
        </w:rPr>
        <w:t xml:space="preserve"> </w:t>
      </w:r>
      <w:r w:rsidR="00C954A5">
        <w:rPr>
          <w:rFonts w:ascii="Calibri" w:eastAsia="Calibri" w:hAnsi="Calibri" w:cs="Calibri"/>
          <w:color w:val="000000"/>
          <w:sz w:val="22"/>
          <w:szCs w:val="22"/>
        </w:rPr>
        <w:t xml:space="preserve"> Broadsea provides a turn-key solution with unparalleled ease of use and a standardized stable production deployment that includes an instance of a Common Data Model replete with test data in </w:t>
      </w:r>
      <w:proofErr w:type="spellStart"/>
      <w:r w:rsidR="00C954A5">
        <w:rPr>
          <w:rFonts w:ascii="Calibri" w:eastAsia="Calibri" w:hAnsi="Calibri" w:cs="Calibri"/>
          <w:color w:val="000000"/>
          <w:sz w:val="22"/>
          <w:szCs w:val="22"/>
        </w:rPr>
        <w:t>PostgreSql</w:t>
      </w:r>
      <w:proofErr w:type="spellEnd"/>
      <w:r w:rsidR="00C954A5">
        <w:rPr>
          <w:rFonts w:ascii="Calibri" w:eastAsia="Calibri" w:hAnsi="Calibri" w:cs="Calibri"/>
          <w:color w:val="000000"/>
          <w:sz w:val="22"/>
          <w:szCs w:val="22"/>
        </w:rPr>
        <w:t xml:space="preserve">.  </w:t>
      </w:r>
      <w:r w:rsidR="00AC0B67">
        <w:rPr>
          <w:rFonts w:ascii="Calibri" w:eastAsia="Calibri" w:hAnsi="Calibri" w:cs="Calibri"/>
          <w:color w:val="000000"/>
          <w:sz w:val="22"/>
          <w:szCs w:val="22"/>
        </w:rPr>
        <w:t>“</w:t>
      </w:r>
      <w:r w:rsidR="00AC0B67" w:rsidRPr="00AC0B67">
        <w:rPr>
          <w:rFonts w:ascii="Calibri" w:eastAsia="Calibri" w:hAnsi="Calibri" w:cs="Calibri"/>
          <w:color w:val="000000"/>
          <w:sz w:val="22"/>
          <w:szCs w:val="22"/>
        </w:rPr>
        <w:t>Broadsea 3.0 provides a flexible approach to deploying OHDSI tools that are typically challenging to set</w:t>
      </w:r>
      <w:r w:rsidR="00AC0B67">
        <w:rPr>
          <w:rFonts w:ascii="Calibri" w:eastAsia="Calibri" w:hAnsi="Calibri" w:cs="Calibri"/>
          <w:color w:val="000000"/>
          <w:sz w:val="22"/>
          <w:szCs w:val="22"/>
        </w:rPr>
        <w:t xml:space="preserve"> </w:t>
      </w:r>
      <w:proofErr w:type="gramStart"/>
      <w:r w:rsidR="00AC0B67" w:rsidRPr="00AC0B67">
        <w:rPr>
          <w:rFonts w:ascii="Calibri" w:eastAsia="Calibri" w:hAnsi="Calibri" w:cs="Calibri"/>
          <w:color w:val="000000"/>
          <w:sz w:val="22"/>
          <w:szCs w:val="22"/>
        </w:rPr>
        <w:t>up, and</w:t>
      </w:r>
      <w:proofErr w:type="gramEnd"/>
      <w:r w:rsidR="00AC0B67" w:rsidRPr="00AC0B67">
        <w:rPr>
          <w:rFonts w:ascii="Calibri" w:eastAsia="Calibri" w:hAnsi="Calibri" w:cs="Calibri"/>
          <w:color w:val="000000"/>
          <w:sz w:val="22"/>
          <w:szCs w:val="22"/>
        </w:rPr>
        <w:t xml:space="preserve"> establishes a framework for supporting new OHDSI tools to come. </w:t>
      </w:r>
      <w:r w:rsidR="00C954A5">
        <w:rPr>
          <w:rFonts w:ascii="Calibri" w:eastAsia="Calibri" w:hAnsi="Calibri" w:cs="Calibri"/>
          <w:color w:val="000000"/>
          <w:sz w:val="22"/>
          <w:szCs w:val="22"/>
        </w:rPr>
        <w:t xml:space="preserve"> </w:t>
      </w:r>
      <w:r w:rsidR="00AC0B67" w:rsidRPr="00AC0B67">
        <w:rPr>
          <w:rFonts w:ascii="Calibri" w:eastAsia="Calibri" w:hAnsi="Calibri" w:cs="Calibri"/>
          <w:color w:val="000000"/>
          <w:sz w:val="22"/>
          <w:szCs w:val="22"/>
        </w:rPr>
        <w:t>Any site, regardless of size,</w:t>
      </w:r>
      <w:r w:rsidR="00AC0B67">
        <w:rPr>
          <w:rFonts w:ascii="Calibri" w:eastAsia="Calibri" w:hAnsi="Calibri" w:cs="Calibri"/>
          <w:color w:val="000000"/>
          <w:sz w:val="22"/>
          <w:szCs w:val="22"/>
        </w:rPr>
        <w:t xml:space="preserve"> </w:t>
      </w:r>
      <w:r w:rsidR="00AC0B67" w:rsidRPr="00AC0B67">
        <w:rPr>
          <w:rFonts w:ascii="Calibri" w:eastAsia="Calibri" w:hAnsi="Calibri" w:cs="Calibri"/>
          <w:color w:val="000000"/>
          <w:sz w:val="22"/>
          <w:szCs w:val="22"/>
        </w:rPr>
        <w:t>can deploy a wide range of OHDSI tools on a laptop or a production server</w:t>
      </w:r>
      <w:r w:rsidR="00AC0B67">
        <w:rPr>
          <w:rFonts w:ascii="Calibri" w:eastAsia="Calibri" w:hAnsi="Calibri" w:cs="Calibri"/>
          <w:color w:val="000000"/>
          <w:sz w:val="22"/>
          <w:szCs w:val="22"/>
        </w:rPr>
        <w:t>”</w:t>
      </w:r>
      <w:r w:rsidR="00AC0B67" w:rsidRPr="00AC0B67">
        <w:rPr>
          <w:rFonts w:ascii="Calibri" w:eastAsia="Calibri" w:hAnsi="Calibri" w:cs="Calibri"/>
          <w:color w:val="000000"/>
          <w:sz w:val="22"/>
          <w:szCs w:val="22"/>
          <w:vertAlign w:val="superscript"/>
        </w:rPr>
        <w:t>3</w:t>
      </w:r>
      <w:r w:rsidR="00AC0B67">
        <w:rPr>
          <w:rFonts w:ascii="Calibri" w:eastAsia="Calibri" w:hAnsi="Calibri" w:cs="Calibri"/>
          <w:color w:val="000000"/>
          <w:sz w:val="22"/>
          <w:szCs w:val="22"/>
        </w:rPr>
        <w:t xml:space="preserve"> using Broadsea.  However, after initial deployment there are customizations that most implementations will want to make to create a production, test, or development instance of an OHDSI implementation.  This includes the creation of </w:t>
      </w:r>
      <w:r w:rsidR="00C954A5">
        <w:rPr>
          <w:rFonts w:ascii="Calibri" w:eastAsia="Calibri" w:hAnsi="Calibri" w:cs="Calibri"/>
          <w:color w:val="000000"/>
          <w:sz w:val="22"/>
          <w:szCs w:val="22"/>
        </w:rPr>
        <w:t xml:space="preserve">an independent instance of the </w:t>
      </w:r>
      <w:proofErr w:type="spellStart"/>
      <w:r w:rsidR="00C954A5">
        <w:rPr>
          <w:rFonts w:ascii="Calibri" w:eastAsia="Calibri" w:hAnsi="Calibri" w:cs="Calibri"/>
          <w:color w:val="000000"/>
          <w:sz w:val="22"/>
          <w:szCs w:val="22"/>
        </w:rPr>
        <w:t>CDM</w:t>
      </w:r>
      <w:proofErr w:type="spellEnd"/>
      <w:r w:rsidR="00C954A5">
        <w:rPr>
          <w:rFonts w:ascii="Calibri" w:eastAsia="Calibri" w:hAnsi="Calibri" w:cs="Calibri"/>
          <w:color w:val="000000"/>
          <w:sz w:val="22"/>
          <w:szCs w:val="22"/>
        </w:rPr>
        <w:t xml:space="preserve"> that could be in the existing </w:t>
      </w:r>
      <w:proofErr w:type="spellStart"/>
      <w:r w:rsidR="00C954A5">
        <w:rPr>
          <w:rFonts w:ascii="Calibri" w:eastAsia="Calibri" w:hAnsi="Calibri" w:cs="Calibri"/>
          <w:color w:val="000000"/>
          <w:sz w:val="22"/>
          <w:szCs w:val="22"/>
        </w:rPr>
        <w:t>Broadsea</w:t>
      </w:r>
      <w:proofErr w:type="spellEnd"/>
      <w:r w:rsidR="00C954A5">
        <w:rPr>
          <w:rFonts w:ascii="Calibri" w:eastAsia="Calibri" w:hAnsi="Calibri" w:cs="Calibri"/>
          <w:color w:val="000000"/>
          <w:sz w:val="22"/>
          <w:szCs w:val="22"/>
        </w:rPr>
        <w:t xml:space="preserve"> instance of </w:t>
      </w:r>
      <w:proofErr w:type="spellStart"/>
      <w:r w:rsidR="00C954A5">
        <w:rPr>
          <w:rFonts w:ascii="Calibri" w:eastAsia="Calibri" w:hAnsi="Calibri" w:cs="Calibri"/>
          <w:color w:val="000000"/>
          <w:sz w:val="22"/>
          <w:szCs w:val="22"/>
        </w:rPr>
        <w:t>PostgreSql</w:t>
      </w:r>
      <w:proofErr w:type="spellEnd"/>
      <w:r w:rsidR="00C954A5">
        <w:rPr>
          <w:rFonts w:ascii="Calibri" w:eastAsia="Calibri" w:hAnsi="Calibri" w:cs="Calibri"/>
          <w:color w:val="000000"/>
          <w:sz w:val="22"/>
          <w:szCs w:val="22"/>
        </w:rPr>
        <w:t xml:space="preserve"> or in any of the other data management </w:t>
      </w:r>
      <w:r w:rsidR="001D2EA8">
        <w:rPr>
          <w:rFonts w:ascii="Calibri" w:eastAsia="Calibri" w:hAnsi="Calibri" w:cs="Calibri"/>
          <w:color w:val="000000"/>
          <w:sz w:val="22"/>
          <w:szCs w:val="22"/>
        </w:rPr>
        <w:t>systems</w:t>
      </w:r>
      <w:r w:rsidR="00C954A5">
        <w:rPr>
          <w:rFonts w:ascii="Calibri" w:eastAsia="Calibri" w:hAnsi="Calibri" w:cs="Calibri"/>
          <w:color w:val="000000"/>
          <w:sz w:val="22"/>
          <w:szCs w:val="22"/>
        </w:rPr>
        <w:t xml:space="preserve"> supported by OHDSI (including Oracle, Microsoft </w:t>
      </w:r>
      <w:proofErr w:type="spellStart"/>
      <w:r w:rsidR="00C954A5">
        <w:rPr>
          <w:rFonts w:ascii="Calibri" w:eastAsia="Calibri" w:hAnsi="Calibri" w:cs="Calibri"/>
          <w:color w:val="000000"/>
          <w:sz w:val="22"/>
          <w:szCs w:val="22"/>
        </w:rPr>
        <w:t>Sql</w:t>
      </w:r>
      <w:proofErr w:type="spellEnd"/>
      <w:r w:rsidR="00C954A5">
        <w:rPr>
          <w:rFonts w:ascii="Calibri" w:eastAsia="Calibri" w:hAnsi="Calibri" w:cs="Calibri"/>
          <w:color w:val="000000"/>
          <w:sz w:val="22"/>
          <w:szCs w:val="22"/>
        </w:rPr>
        <w:t xml:space="preserve"> Server, </w:t>
      </w:r>
      <w:proofErr w:type="spellStart"/>
      <w:r w:rsidR="00C954A5">
        <w:rPr>
          <w:rFonts w:ascii="Calibri" w:eastAsia="Calibri" w:hAnsi="Calibri" w:cs="Calibri"/>
          <w:color w:val="000000"/>
          <w:sz w:val="22"/>
          <w:szCs w:val="22"/>
        </w:rPr>
        <w:t>PostgreSql</w:t>
      </w:r>
      <w:proofErr w:type="spellEnd"/>
      <w:r w:rsidR="00C954A5">
        <w:rPr>
          <w:rFonts w:ascii="Calibri" w:eastAsia="Calibri" w:hAnsi="Calibri" w:cs="Calibri"/>
          <w:color w:val="000000"/>
          <w:sz w:val="22"/>
          <w:szCs w:val="22"/>
        </w:rPr>
        <w:t xml:space="preserve">, Databricks, etc.).  Creation of this environment entails numerous steps that need to </w:t>
      </w:r>
      <w:proofErr w:type="gramStart"/>
      <w:r w:rsidR="00C954A5">
        <w:rPr>
          <w:rFonts w:ascii="Calibri" w:eastAsia="Calibri" w:hAnsi="Calibri" w:cs="Calibri"/>
          <w:color w:val="000000"/>
          <w:sz w:val="22"/>
          <w:szCs w:val="22"/>
        </w:rPr>
        <w:t>integrated</w:t>
      </w:r>
      <w:proofErr w:type="gramEnd"/>
      <w:r w:rsidR="00C954A5">
        <w:rPr>
          <w:rFonts w:ascii="Calibri" w:eastAsia="Calibri" w:hAnsi="Calibri" w:cs="Calibri"/>
          <w:color w:val="000000"/>
          <w:sz w:val="22"/>
          <w:szCs w:val="22"/>
        </w:rPr>
        <w:t xml:space="preserve"> and executed flawlessly.  This process can be time consuming and fraught with errors and includes the creation of multiple databases and/or schemas</w:t>
      </w:r>
      <w:r w:rsidR="001D2EA8">
        <w:rPr>
          <w:rFonts w:ascii="Calibri" w:eastAsia="Calibri" w:hAnsi="Calibri" w:cs="Calibri"/>
          <w:color w:val="000000"/>
          <w:sz w:val="22"/>
          <w:szCs w:val="22"/>
        </w:rPr>
        <w:t xml:space="preserve"> and other database objects</w:t>
      </w:r>
      <w:r w:rsidR="00C954A5">
        <w:rPr>
          <w:rFonts w:ascii="Calibri" w:eastAsia="Calibri" w:hAnsi="Calibri" w:cs="Calibri"/>
          <w:color w:val="000000"/>
          <w:sz w:val="22"/>
          <w:szCs w:val="22"/>
        </w:rPr>
        <w:t xml:space="preserve">, creation of multiple users with detailed specific privileges, the creation of meta data such as the </w:t>
      </w:r>
      <w:proofErr w:type="spellStart"/>
      <w:r w:rsidR="00C954A5">
        <w:rPr>
          <w:rFonts w:ascii="Calibri" w:eastAsia="Calibri" w:hAnsi="Calibri" w:cs="Calibri"/>
          <w:color w:val="000000"/>
          <w:sz w:val="22"/>
          <w:szCs w:val="22"/>
        </w:rPr>
        <w:t>CDM</w:t>
      </w:r>
      <w:proofErr w:type="spellEnd"/>
      <w:r w:rsidR="00C954A5">
        <w:rPr>
          <w:rFonts w:ascii="Calibri" w:eastAsia="Calibri" w:hAnsi="Calibri" w:cs="Calibri"/>
          <w:color w:val="000000"/>
          <w:sz w:val="22"/>
          <w:szCs w:val="22"/>
        </w:rPr>
        <w:t xml:space="preserve"> source record and </w:t>
      </w:r>
      <w:proofErr w:type="spellStart"/>
      <w:r w:rsidR="00C954A5">
        <w:rPr>
          <w:rFonts w:ascii="Calibri" w:eastAsia="Calibri" w:hAnsi="Calibri" w:cs="Calibri"/>
          <w:color w:val="000000"/>
          <w:sz w:val="22"/>
          <w:szCs w:val="22"/>
        </w:rPr>
        <w:t>webapi</w:t>
      </w:r>
      <w:proofErr w:type="spellEnd"/>
      <w:r w:rsidR="00C954A5">
        <w:rPr>
          <w:rFonts w:ascii="Calibri" w:eastAsia="Calibri" w:hAnsi="Calibri" w:cs="Calibri"/>
          <w:color w:val="000000"/>
          <w:sz w:val="22"/>
          <w:szCs w:val="22"/>
        </w:rPr>
        <w:t xml:space="preserve"> records, the importing of vocabulary data, the creation of sequences for primary keys for ETL processes, the creation of indexes and constraints, the importing of data, and the running of other processes such as Achilles.  Polites </w:t>
      </w:r>
      <w:proofErr w:type="gramStart"/>
      <w:r w:rsidR="00C954A5">
        <w:rPr>
          <w:rFonts w:ascii="Calibri" w:eastAsia="Calibri" w:hAnsi="Calibri" w:cs="Calibri"/>
          <w:color w:val="000000"/>
          <w:sz w:val="22"/>
          <w:szCs w:val="22"/>
        </w:rPr>
        <w:t>provides</w:t>
      </w:r>
      <w:proofErr w:type="gramEnd"/>
      <w:r w:rsidR="00C954A5">
        <w:rPr>
          <w:rFonts w:ascii="Calibri" w:eastAsia="Calibri" w:hAnsi="Calibri" w:cs="Calibri"/>
          <w:color w:val="000000"/>
          <w:sz w:val="22"/>
          <w:szCs w:val="22"/>
        </w:rPr>
        <w:t xml:space="preserve"> a way to execute </w:t>
      </w:r>
      <w:proofErr w:type="gramStart"/>
      <w:r w:rsidR="00C954A5">
        <w:rPr>
          <w:rFonts w:ascii="Calibri" w:eastAsia="Calibri" w:hAnsi="Calibri" w:cs="Calibri"/>
          <w:color w:val="000000"/>
          <w:sz w:val="22"/>
          <w:szCs w:val="22"/>
        </w:rPr>
        <w:t>all of</w:t>
      </w:r>
      <w:proofErr w:type="gramEnd"/>
      <w:r w:rsidR="00C954A5">
        <w:rPr>
          <w:rFonts w:ascii="Calibri" w:eastAsia="Calibri" w:hAnsi="Calibri" w:cs="Calibri"/>
          <w:color w:val="000000"/>
          <w:sz w:val="22"/>
          <w:szCs w:val="22"/>
        </w:rPr>
        <w:t xml:space="preserve"> these processes and an interface that allows the processes to be selected individually </w:t>
      </w:r>
      <w:r w:rsidR="000433B4">
        <w:rPr>
          <w:rFonts w:ascii="Calibri" w:eastAsia="Calibri" w:hAnsi="Calibri" w:cs="Calibri"/>
          <w:color w:val="000000"/>
          <w:sz w:val="22"/>
          <w:szCs w:val="22"/>
        </w:rPr>
        <w:t>or</w:t>
      </w:r>
      <w:r w:rsidR="00C954A5">
        <w:rPr>
          <w:rFonts w:ascii="Calibri" w:eastAsia="Calibri" w:hAnsi="Calibri" w:cs="Calibri"/>
          <w:color w:val="000000"/>
          <w:sz w:val="22"/>
          <w:szCs w:val="22"/>
        </w:rPr>
        <w:t xml:space="preserve"> run in groups.  </w:t>
      </w:r>
    </w:p>
    <w:p w14:paraId="388D9C9F" w14:textId="77777777" w:rsidR="00291A08" w:rsidRDefault="00000000">
      <w:pPr>
        <w:pBdr>
          <w:top w:val="nil"/>
          <w:left w:val="nil"/>
          <w:bottom w:val="nil"/>
          <w:right w:val="nil"/>
          <w:between w:val="nil"/>
        </w:pBdr>
        <w:spacing w:after="120"/>
        <w:jc w:val="both"/>
        <w:rPr>
          <w:rFonts w:ascii="Calibri" w:eastAsia="Calibri" w:hAnsi="Calibri" w:cs="Calibri"/>
          <w:sz w:val="22"/>
          <w:szCs w:val="22"/>
        </w:rPr>
      </w:pPr>
      <w:r>
        <w:rPr>
          <w:rFonts w:ascii="Calibri" w:eastAsia="Calibri" w:hAnsi="Calibri" w:cs="Calibri"/>
          <w:b/>
          <w:sz w:val="22"/>
          <w:szCs w:val="22"/>
        </w:rPr>
        <w:t>Methods</w:t>
      </w:r>
    </w:p>
    <w:p w14:paraId="2BBE56D4" w14:textId="7ABA4BFA" w:rsidR="00291A08" w:rsidRDefault="00B006F4">
      <w:pPr>
        <w:pBdr>
          <w:top w:val="nil"/>
          <w:left w:val="nil"/>
          <w:bottom w:val="nil"/>
          <w:right w:val="nil"/>
          <w:between w:val="nil"/>
        </w:pBdr>
        <w:spacing w:after="120"/>
        <w:jc w:val="both"/>
        <w:rPr>
          <w:rFonts w:ascii="Calibri" w:eastAsia="Calibri" w:hAnsi="Calibri" w:cs="Calibri"/>
          <w:sz w:val="22"/>
          <w:szCs w:val="22"/>
          <w:highlight w:val="white"/>
        </w:rPr>
      </w:pPr>
      <w:r>
        <w:rPr>
          <w:rFonts w:ascii="Calibri" w:eastAsia="Calibri" w:hAnsi="Calibri" w:cs="Calibri"/>
          <w:sz w:val="22"/>
          <w:szCs w:val="22"/>
        </w:rPr>
        <w:t>Based on our experience with implementing OHDSI using both non-Broadsea and Broadsea based solutions</w:t>
      </w:r>
      <w:r>
        <w:rPr>
          <w:rFonts w:ascii="Calibri" w:eastAsia="Calibri" w:hAnsi="Calibri" w:cs="Calibri"/>
          <w:sz w:val="22"/>
          <w:szCs w:val="22"/>
          <w:highlight w:val="white"/>
        </w:rPr>
        <w:t xml:space="preserve"> we quickly identified the vast benefits of working with Broadsea based solutions.  However, even with Broadsea we found multiple steps and processes are required to implement the solutions we required.  As we developed our solutions to create these implementations we captured and automated the individual processes and began using these automated backend processes directly.  We then collected these backend processes and implemented a user interface that allows for the running of each of these processes individually or in groups.  </w:t>
      </w:r>
    </w:p>
    <w:p w14:paraId="4015DF67" w14:textId="77777777" w:rsidR="00291A08" w:rsidRDefault="00000000">
      <w:pPr>
        <w:pBdr>
          <w:top w:val="nil"/>
          <w:left w:val="nil"/>
          <w:bottom w:val="nil"/>
          <w:right w:val="nil"/>
          <w:between w:val="nil"/>
        </w:pBdr>
        <w:spacing w:after="120"/>
        <w:jc w:val="both"/>
        <w:rPr>
          <w:rFonts w:ascii="Calibri" w:eastAsia="Calibri" w:hAnsi="Calibri" w:cs="Calibri"/>
          <w:b/>
          <w:color w:val="000000"/>
          <w:sz w:val="22"/>
          <w:szCs w:val="22"/>
        </w:rPr>
      </w:pPr>
      <w:r>
        <w:rPr>
          <w:rFonts w:ascii="Calibri" w:eastAsia="Calibri" w:hAnsi="Calibri" w:cs="Calibri"/>
          <w:b/>
          <w:sz w:val="22"/>
          <w:szCs w:val="22"/>
        </w:rPr>
        <w:t>Results</w:t>
      </w:r>
    </w:p>
    <w:p w14:paraId="35DC1A67" w14:textId="15222349" w:rsidR="004111F9" w:rsidRDefault="00B006F4">
      <w:pPr>
        <w:pBdr>
          <w:top w:val="nil"/>
          <w:left w:val="nil"/>
          <w:bottom w:val="nil"/>
          <w:right w:val="nil"/>
          <w:between w:val="nil"/>
        </w:pBdr>
        <w:tabs>
          <w:tab w:val="left" w:pos="9360"/>
        </w:tabs>
        <w:spacing w:after="120"/>
        <w:jc w:val="both"/>
        <w:rPr>
          <w:rFonts w:ascii="Calibri" w:eastAsia="Calibri" w:hAnsi="Calibri" w:cs="Calibri"/>
          <w:sz w:val="22"/>
          <w:szCs w:val="22"/>
        </w:rPr>
      </w:pPr>
      <w:r>
        <w:rPr>
          <w:rFonts w:ascii="Calibri" w:eastAsia="Calibri" w:hAnsi="Calibri" w:cs="Calibri"/>
          <w:sz w:val="22"/>
          <w:szCs w:val="22"/>
        </w:rPr>
        <w:t xml:space="preserve">Polites </w:t>
      </w:r>
      <w:proofErr w:type="gramStart"/>
      <w:r>
        <w:rPr>
          <w:rFonts w:ascii="Calibri" w:eastAsia="Calibri" w:hAnsi="Calibri" w:cs="Calibri"/>
          <w:sz w:val="22"/>
          <w:szCs w:val="22"/>
        </w:rPr>
        <w:t>allows</w:t>
      </w:r>
      <w:proofErr w:type="gramEnd"/>
      <w:r>
        <w:rPr>
          <w:rFonts w:ascii="Calibri" w:eastAsia="Calibri" w:hAnsi="Calibri" w:cs="Calibri"/>
          <w:sz w:val="22"/>
          <w:szCs w:val="22"/>
        </w:rPr>
        <w:t xml:space="preserve"> for the consistent deployment of highly configurable deployments of OHDSI tools</w:t>
      </w:r>
      <w:r w:rsidR="00677033">
        <w:rPr>
          <w:rFonts w:ascii="Calibri" w:eastAsia="Calibri" w:hAnsi="Calibri" w:cs="Calibri"/>
          <w:sz w:val="22"/>
          <w:szCs w:val="22"/>
        </w:rPr>
        <w:t xml:space="preserve"> that extend beyond the out-of-the-box solution provided by Broadsea</w:t>
      </w:r>
      <w:r>
        <w:rPr>
          <w:rFonts w:ascii="Calibri" w:eastAsia="Calibri" w:hAnsi="Calibri" w:cs="Calibri"/>
          <w:sz w:val="22"/>
          <w:szCs w:val="22"/>
        </w:rPr>
        <w:t xml:space="preserve">.  This enables not only the end-to-end deployment of an OHDSI implementation but also allows for the running of individual processes that allows for rapid and effective modifications and testing of existing implementations.  </w:t>
      </w:r>
      <w:r w:rsidR="000433B4">
        <w:rPr>
          <w:rFonts w:ascii="Calibri" w:eastAsia="Calibri" w:hAnsi="Calibri" w:cs="Calibri"/>
          <w:sz w:val="22"/>
          <w:szCs w:val="22"/>
        </w:rPr>
        <w:t xml:space="preserve">Figure 1 below shows the current user interface for Polites that enables this flexibility.  </w:t>
      </w:r>
    </w:p>
    <w:p w14:paraId="6FF3E566" w14:textId="5E5B5772" w:rsidR="00677033" w:rsidRDefault="00677033">
      <w:pPr>
        <w:pBdr>
          <w:top w:val="nil"/>
          <w:left w:val="nil"/>
          <w:bottom w:val="nil"/>
          <w:right w:val="nil"/>
          <w:between w:val="nil"/>
        </w:pBdr>
        <w:tabs>
          <w:tab w:val="left" w:pos="9360"/>
        </w:tabs>
        <w:spacing w:after="120"/>
        <w:jc w:val="both"/>
        <w:rPr>
          <w:rFonts w:ascii="Calibri" w:eastAsia="Calibri" w:hAnsi="Calibri" w:cs="Calibri"/>
          <w:sz w:val="22"/>
          <w:szCs w:val="22"/>
        </w:rPr>
      </w:pPr>
      <w:r>
        <w:rPr>
          <w:rFonts w:ascii="Calibri" w:eastAsia="Calibri" w:hAnsi="Calibri" w:cs="Calibri"/>
          <w:sz w:val="22"/>
          <w:szCs w:val="22"/>
        </w:rPr>
        <w:t xml:space="preserve"> </w:t>
      </w:r>
    </w:p>
    <w:p w14:paraId="54FF329D" w14:textId="59C645D3" w:rsidR="004111F9" w:rsidRDefault="00D467F4">
      <w:pPr>
        <w:pBdr>
          <w:top w:val="nil"/>
          <w:left w:val="nil"/>
          <w:bottom w:val="nil"/>
          <w:right w:val="nil"/>
          <w:between w:val="nil"/>
        </w:pBdr>
        <w:tabs>
          <w:tab w:val="left" w:pos="9360"/>
        </w:tabs>
        <w:spacing w:after="120"/>
        <w:jc w:val="both"/>
        <w:rPr>
          <w:rFonts w:ascii="Calibri" w:eastAsia="Calibri" w:hAnsi="Calibri" w:cs="Calibri"/>
          <w:color w:val="000000"/>
          <w:sz w:val="22"/>
          <w:szCs w:val="22"/>
        </w:rPr>
      </w:pPr>
      <w:r w:rsidRPr="00D467F4">
        <w:rPr>
          <w:rFonts w:ascii="Calibri" w:eastAsia="Calibri" w:hAnsi="Calibri" w:cs="Calibri"/>
          <w:noProof/>
          <w:color w:val="000000"/>
          <w:sz w:val="22"/>
          <w:szCs w:val="22"/>
        </w:rPr>
        <w:lastRenderedPageBreak/>
        <w:drawing>
          <wp:inline distT="0" distB="0" distL="0" distR="0" wp14:anchorId="26719302" wp14:editId="05B56574">
            <wp:extent cx="3383299" cy="5387340"/>
            <wp:effectExtent l="0" t="0" r="7620" b="3810"/>
            <wp:docPr id="1037066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66578" name="Picture 1" descr="A screenshot of a computer&#10;&#10;Description automatically generated"/>
                    <pic:cNvPicPr/>
                  </pic:nvPicPr>
                  <pic:blipFill>
                    <a:blip r:embed="rId8"/>
                    <a:stretch>
                      <a:fillRect/>
                    </a:stretch>
                  </pic:blipFill>
                  <pic:spPr>
                    <a:xfrm>
                      <a:off x="0" y="0"/>
                      <a:ext cx="3388741" cy="5396006"/>
                    </a:xfrm>
                    <a:prstGeom prst="rect">
                      <a:avLst/>
                    </a:prstGeom>
                  </pic:spPr>
                </pic:pic>
              </a:graphicData>
            </a:graphic>
          </wp:inline>
        </w:drawing>
      </w:r>
    </w:p>
    <w:p w14:paraId="7ECBB41A" w14:textId="40E38853" w:rsidR="00291A08" w:rsidRDefault="00291A08">
      <w:pPr>
        <w:pBdr>
          <w:top w:val="nil"/>
          <w:left w:val="nil"/>
          <w:bottom w:val="nil"/>
          <w:right w:val="nil"/>
          <w:between w:val="nil"/>
        </w:pBdr>
        <w:spacing w:after="120"/>
        <w:rPr>
          <w:rFonts w:ascii="Calibri" w:eastAsia="Calibri" w:hAnsi="Calibri" w:cs="Calibri"/>
          <w:b/>
          <w:color w:val="000000"/>
          <w:sz w:val="22"/>
          <w:szCs w:val="22"/>
        </w:rPr>
      </w:pPr>
    </w:p>
    <w:p w14:paraId="67C94AC5" w14:textId="255ECCCD" w:rsidR="00291A08" w:rsidRDefault="00000000">
      <w:pPr>
        <w:pBdr>
          <w:top w:val="nil"/>
          <w:left w:val="nil"/>
          <w:bottom w:val="nil"/>
          <w:right w:val="nil"/>
          <w:between w:val="nil"/>
        </w:pBdr>
        <w:spacing w:after="120"/>
        <w:rPr>
          <w:rFonts w:ascii="Calibri" w:eastAsia="Calibri" w:hAnsi="Calibri" w:cs="Calibri"/>
          <w:color w:val="000000"/>
          <w:sz w:val="18"/>
          <w:szCs w:val="18"/>
        </w:rPr>
      </w:pPr>
      <w:r>
        <w:rPr>
          <w:rFonts w:ascii="Calibri" w:eastAsia="Calibri" w:hAnsi="Calibri" w:cs="Calibri"/>
          <w:b/>
          <w:color w:val="000000"/>
          <w:sz w:val="18"/>
          <w:szCs w:val="18"/>
        </w:rPr>
        <w:t xml:space="preserve">Figure 1. </w:t>
      </w:r>
      <w:r w:rsidR="00677033">
        <w:rPr>
          <w:rFonts w:ascii="Calibri" w:eastAsia="Calibri" w:hAnsi="Calibri" w:cs="Calibri"/>
          <w:b/>
          <w:color w:val="000000"/>
          <w:sz w:val="18"/>
          <w:szCs w:val="18"/>
        </w:rPr>
        <w:t xml:space="preserve">User interface for Polites Version 1.0.  </w:t>
      </w:r>
    </w:p>
    <w:p w14:paraId="11D693DC" w14:textId="77777777" w:rsidR="000433B4" w:rsidRDefault="000433B4" w:rsidP="000433B4">
      <w:pPr>
        <w:pBdr>
          <w:top w:val="nil"/>
          <w:left w:val="nil"/>
          <w:bottom w:val="nil"/>
          <w:right w:val="nil"/>
          <w:between w:val="nil"/>
        </w:pBdr>
        <w:tabs>
          <w:tab w:val="left" w:pos="9360"/>
        </w:tabs>
        <w:spacing w:after="120"/>
        <w:jc w:val="both"/>
        <w:rPr>
          <w:rFonts w:ascii="Calibri" w:eastAsia="Calibri" w:hAnsi="Calibri" w:cs="Calibri"/>
          <w:sz w:val="22"/>
          <w:szCs w:val="22"/>
        </w:rPr>
      </w:pPr>
      <w:r>
        <w:rPr>
          <w:rFonts w:ascii="Calibri" w:eastAsia="Calibri" w:hAnsi="Calibri" w:cs="Calibri"/>
          <w:sz w:val="22"/>
          <w:szCs w:val="22"/>
        </w:rPr>
        <w:t xml:space="preserve">Configuration for Polites is currently confined to a single simple properties file.  This allows for the easy sharing of configuration as well as the advantages of having all of this information available in a single place (for example, we can easily answer the questions “what version of the </w:t>
      </w:r>
      <w:proofErr w:type="spellStart"/>
      <w:r>
        <w:rPr>
          <w:rFonts w:ascii="Calibri" w:eastAsia="Calibri" w:hAnsi="Calibri" w:cs="Calibri"/>
          <w:sz w:val="22"/>
          <w:szCs w:val="22"/>
        </w:rPr>
        <w:t>CDM</w:t>
      </w:r>
      <w:proofErr w:type="spellEnd"/>
      <w:r>
        <w:rPr>
          <w:rFonts w:ascii="Calibri" w:eastAsia="Calibri" w:hAnsi="Calibri" w:cs="Calibri"/>
          <w:sz w:val="22"/>
          <w:szCs w:val="22"/>
        </w:rPr>
        <w:t xml:space="preserve"> did we specify?”, “what database driver are we using?”, and “what </w:t>
      </w:r>
      <w:proofErr w:type="spellStart"/>
      <w:r>
        <w:rPr>
          <w:rFonts w:ascii="Calibri" w:eastAsia="Calibri" w:hAnsi="Calibri" w:cs="Calibri"/>
          <w:sz w:val="22"/>
          <w:szCs w:val="22"/>
        </w:rPr>
        <w:t>url</w:t>
      </w:r>
      <w:proofErr w:type="spellEnd"/>
      <w:r>
        <w:rPr>
          <w:rFonts w:ascii="Calibri" w:eastAsia="Calibri" w:hAnsi="Calibri" w:cs="Calibri"/>
          <w:sz w:val="22"/>
          <w:szCs w:val="22"/>
        </w:rPr>
        <w:t xml:space="preserve"> did we specify in the </w:t>
      </w:r>
      <w:proofErr w:type="spellStart"/>
      <w:r>
        <w:rPr>
          <w:rFonts w:ascii="Calibri" w:eastAsia="Calibri" w:hAnsi="Calibri" w:cs="Calibri"/>
          <w:sz w:val="22"/>
          <w:szCs w:val="22"/>
        </w:rPr>
        <w:t>webapi</w:t>
      </w:r>
      <w:proofErr w:type="spellEnd"/>
      <w:r>
        <w:rPr>
          <w:rFonts w:ascii="Calibri" w:eastAsia="Calibri" w:hAnsi="Calibri" w:cs="Calibri"/>
          <w:sz w:val="22"/>
          <w:szCs w:val="22"/>
        </w:rPr>
        <w:t xml:space="preserve">?” schema can be discovered in the same simple properties file).  </w:t>
      </w:r>
    </w:p>
    <w:p w14:paraId="256C46CE" w14:textId="63C67577" w:rsidR="000433B4" w:rsidRDefault="000433B4" w:rsidP="000433B4">
      <w:pPr>
        <w:pBdr>
          <w:top w:val="nil"/>
          <w:left w:val="nil"/>
          <w:bottom w:val="nil"/>
          <w:right w:val="nil"/>
          <w:between w:val="nil"/>
        </w:pBdr>
        <w:tabs>
          <w:tab w:val="left" w:pos="9360"/>
        </w:tabs>
        <w:spacing w:after="120"/>
        <w:jc w:val="both"/>
        <w:rPr>
          <w:rFonts w:ascii="Calibri" w:eastAsia="Calibri" w:hAnsi="Calibri" w:cs="Calibri"/>
          <w:sz w:val="22"/>
          <w:szCs w:val="22"/>
        </w:rPr>
      </w:pPr>
      <w:r>
        <w:rPr>
          <w:rFonts w:ascii="Calibri" w:eastAsia="Calibri" w:hAnsi="Calibri" w:cs="Calibri"/>
          <w:sz w:val="22"/>
          <w:szCs w:val="22"/>
        </w:rPr>
        <w:t xml:space="preserve">We also identified </w:t>
      </w:r>
      <w:proofErr w:type="gramStart"/>
      <w:r>
        <w:rPr>
          <w:rFonts w:ascii="Calibri" w:eastAsia="Calibri" w:hAnsi="Calibri" w:cs="Calibri"/>
          <w:sz w:val="22"/>
          <w:szCs w:val="22"/>
        </w:rPr>
        <w:t>a number of</w:t>
      </w:r>
      <w:proofErr w:type="gramEnd"/>
      <w:r>
        <w:rPr>
          <w:rFonts w:ascii="Calibri" w:eastAsia="Calibri" w:hAnsi="Calibri" w:cs="Calibri"/>
          <w:sz w:val="22"/>
          <w:szCs w:val="22"/>
        </w:rPr>
        <w:t xml:space="preserve"> sticking points that can slow down </w:t>
      </w:r>
      <w:proofErr w:type="gramStart"/>
      <w:r>
        <w:rPr>
          <w:rFonts w:ascii="Calibri" w:eastAsia="Calibri" w:hAnsi="Calibri" w:cs="Calibri"/>
          <w:sz w:val="22"/>
          <w:szCs w:val="22"/>
        </w:rPr>
        <w:t>an implementation</w:t>
      </w:r>
      <w:proofErr w:type="gramEnd"/>
      <w:r>
        <w:rPr>
          <w:rFonts w:ascii="Calibri" w:eastAsia="Calibri" w:hAnsi="Calibri" w:cs="Calibri"/>
          <w:sz w:val="22"/>
          <w:szCs w:val="22"/>
        </w:rPr>
        <w:t xml:space="preserve"> and have provided some simplifications.  For example, Polites allows for the use of default resources such as a full set of vocabulary data, database drivers, and test </w:t>
      </w:r>
      <w:r w:rsidR="009E1A8E">
        <w:rPr>
          <w:rFonts w:ascii="Calibri" w:eastAsia="Calibri" w:hAnsi="Calibri" w:cs="Calibri"/>
          <w:sz w:val="22"/>
          <w:szCs w:val="22"/>
        </w:rPr>
        <w:t>data sets</w:t>
      </w:r>
      <w:r>
        <w:rPr>
          <w:rFonts w:ascii="Calibri" w:eastAsia="Calibri" w:hAnsi="Calibri" w:cs="Calibri"/>
          <w:sz w:val="22"/>
          <w:szCs w:val="22"/>
        </w:rPr>
        <w:t xml:space="preserve">.  These resources can be automatically downloaded and used as part of the Polites build process.  </w:t>
      </w:r>
    </w:p>
    <w:p w14:paraId="30465530" w14:textId="59B0713F" w:rsidR="00291A08" w:rsidRDefault="000433B4" w:rsidP="000433B4">
      <w:pPr>
        <w:pBdr>
          <w:top w:val="nil"/>
          <w:left w:val="nil"/>
          <w:bottom w:val="nil"/>
          <w:right w:val="nil"/>
          <w:between w:val="nil"/>
        </w:pBdr>
        <w:tabs>
          <w:tab w:val="left" w:pos="9360"/>
        </w:tabs>
        <w:spacing w:after="120"/>
        <w:jc w:val="both"/>
        <w:rPr>
          <w:rFonts w:ascii="Calibri" w:eastAsia="Calibri" w:hAnsi="Calibri" w:cs="Calibri"/>
          <w:sz w:val="22"/>
          <w:szCs w:val="22"/>
        </w:rPr>
      </w:pPr>
      <w:r>
        <w:rPr>
          <w:rFonts w:ascii="Calibri" w:eastAsia="Calibri" w:hAnsi="Calibri" w:cs="Calibri"/>
          <w:sz w:val="22"/>
          <w:szCs w:val="22"/>
        </w:rPr>
        <w:t xml:space="preserve">Polites also encapsulates the complexity and intricacies of the details of creating a complete </w:t>
      </w:r>
      <w:r>
        <w:rPr>
          <w:rFonts w:ascii="Calibri" w:eastAsia="Calibri" w:hAnsi="Calibri" w:cs="Calibri"/>
          <w:sz w:val="22"/>
          <w:szCs w:val="22"/>
        </w:rPr>
        <w:lastRenderedPageBreak/>
        <w:t>implementation providing a consistent stable solution.</w:t>
      </w:r>
    </w:p>
    <w:p w14:paraId="287CE2AB" w14:textId="77777777" w:rsidR="00291A08" w:rsidRDefault="00000000">
      <w:pPr>
        <w:keepNext/>
        <w:pBdr>
          <w:top w:val="nil"/>
          <w:left w:val="nil"/>
          <w:bottom w:val="nil"/>
          <w:right w:val="nil"/>
          <w:between w:val="nil"/>
        </w:pBdr>
        <w:spacing w:before="120" w:after="120"/>
        <w:jc w:val="both"/>
        <w:rPr>
          <w:rFonts w:ascii="Calibri" w:eastAsia="Calibri" w:hAnsi="Calibri" w:cs="Calibri"/>
          <w:b/>
          <w:color w:val="000000"/>
          <w:sz w:val="22"/>
          <w:szCs w:val="22"/>
        </w:rPr>
      </w:pPr>
      <w:r>
        <w:rPr>
          <w:rFonts w:ascii="Calibri" w:eastAsia="Calibri" w:hAnsi="Calibri" w:cs="Calibri"/>
          <w:b/>
          <w:color w:val="000000"/>
          <w:sz w:val="22"/>
          <w:szCs w:val="22"/>
        </w:rPr>
        <w:t>Conclusion</w:t>
      </w:r>
    </w:p>
    <w:p w14:paraId="23D507EB" w14:textId="4F954726" w:rsidR="004111F9" w:rsidRDefault="004111F9" w:rsidP="004111F9">
      <w:pPr>
        <w:pBdr>
          <w:top w:val="nil"/>
          <w:left w:val="nil"/>
          <w:bottom w:val="nil"/>
          <w:right w:val="nil"/>
          <w:between w:val="nil"/>
        </w:pBdr>
        <w:tabs>
          <w:tab w:val="left" w:pos="9360"/>
        </w:tabs>
        <w:spacing w:after="120"/>
        <w:jc w:val="both"/>
        <w:rPr>
          <w:rFonts w:ascii="Calibri" w:eastAsia="Calibri" w:hAnsi="Calibri" w:cs="Calibri"/>
          <w:sz w:val="22"/>
          <w:szCs w:val="22"/>
        </w:rPr>
      </w:pPr>
      <w:r>
        <w:rPr>
          <w:rFonts w:ascii="Calibri" w:eastAsia="Calibri" w:hAnsi="Calibri" w:cs="Calibri"/>
          <w:sz w:val="22"/>
          <w:szCs w:val="22"/>
        </w:rPr>
        <w:t xml:space="preserve">Polites provides an automated, stable, standardized solution for the processes required to create complete deployments of OHDSI that is recommended for use with Broadsea deployments (but also works with standalone, non-Docker deployments as well).  This tool can be used out of the box by any site to complete </w:t>
      </w:r>
      <w:proofErr w:type="spellStart"/>
      <w:r>
        <w:rPr>
          <w:rFonts w:ascii="Calibri" w:eastAsia="Calibri" w:hAnsi="Calibri" w:cs="Calibri"/>
          <w:sz w:val="22"/>
          <w:szCs w:val="22"/>
        </w:rPr>
        <w:t>Broadsea</w:t>
      </w:r>
      <w:proofErr w:type="spellEnd"/>
      <w:r>
        <w:rPr>
          <w:rFonts w:ascii="Calibri" w:eastAsia="Calibri" w:hAnsi="Calibri" w:cs="Calibri"/>
          <w:sz w:val="22"/>
          <w:szCs w:val="22"/>
        </w:rPr>
        <w:t xml:space="preserve"> or non-</w:t>
      </w:r>
      <w:proofErr w:type="spellStart"/>
      <w:r>
        <w:rPr>
          <w:rFonts w:ascii="Calibri" w:eastAsia="Calibri" w:hAnsi="Calibri" w:cs="Calibri"/>
          <w:sz w:val="22"/>
          <w:szCs w:val="22"/>
        </w:rPr>
        <w:t>Dockerized</w:t>
      </w:r>
      <w:proofErr w:type="spellEnd"/>
      <w:r>
        <w:rPr>
          <w:rFonts w:ascii="Calibri" w:eastAsia="Calibri" w:hAnsi="Calibri" w:cs="Calibri"/>
          <w:sz w:val="22"/>
          <w:szCs w:val="22"/>
        </w:rPr>
        <w:t xml:space="preserve"> implementations of OHDSI tools.  </w:t>
      </w:r>
    </w:p>
    <w:p w14:paraId="3EBB1E15" w14:textId="06039859" w:rsidR="004111F9" w:rsidRDefault="004111F9" w:rsidP="004111F9">
      <w:pPr>
        <w:pBdr>
          <w:top w:val="nil"/>
          <w:left w:val="nil"/>
          <w:bottom w:val="nil"/>
          <w:right w:val="nil"/>
          <w:between w:val="nil"/>
        </w:pBdr>
        <w:tabs>
          <w:tab w:val="left" w:pos="9360"/>
        </w:tabs>
        <w:spacing w:after="120"/>
        <w:jc w:val="both"/>
        <w:rPr>
          <w:rFonts w:ascii="Calibri" w:eastAsia="Calibri" w:hAnsi="Calibri" w:cs="Calibri"/>
          <w:sz w:val="22"/>
          <w:szCs w:val="22"/>
        </w:rPr>
      </w:pPr>
      <w:r>
        <w:rPr>
          <w:rFonts w:ascii="Calibri" w:eastAsia="Calibri" w:hAnsi="Calibri" w:cs="Calibri"/>
          <w:sz w:val="22"/>
          <w:szCs w:val="22"/>
        </w:rPr>
        <w:t xml:space="preserve">The current implementation of Polites supports </w:t>
      </w:r>
      <w:proofErr w:type="spellStart"/>
      <w:r>
        <w:rPr>
          <w:rFonts w:ascii="Calibri" w:eastAsia="Calibri" w:hAnsi="Calibri" w:cs="Calibri"/>
          <w:sz w:val="22"/>
          <w:szCs w:val="22"/>
        </w:rPr>
        <w:t>CDM</w:t>
      </w:r>
      <w:proofErr w:type="spellEnd"/>
      <w:r>
        <w:rPr>
          <w:rFonts w:ascii="Calibri" w:eastAsia="Calibri" w:hAnsi="Calibri" w:cs="Calibri"/>
          <w:sz w:val="22"/>
          <w:szCs w:val="22"/>
        </w:rPr>
        <w:t xml:space="preserve"> 5.4 for Microsoft </w:t>
      </w:r>
      <w:proofErr w:type="spellStart"/>
      <w:r>
        <w:rPr>
          <w:rFonts w:ascii="Calibri" w:eastAsia="Calibri" w:hAnsi="Calibri" w:cs="Calibri"/>
          <w:sz w:val="22"/>
          <w:szCs w:val="22"/>
        </w:rPr>
        <w:t>Sql</w:t>
      </w:r>
      <w:proofErr w:type="spellEnd"/>
      <w:r>
        <w:rPr>
          <w:rFonts w:ascii="Calibri" w:eastAsia="Calibri" w:hAnsi="Calibri" w:cs="Calibri"/>
          <w:sz w:val="22"/>
          <w:szCs w:val="22"/>
        </w:rPr>
        <w:t xml:space="preserve"> Server, </w:t>
      </w:r>
      <w:proofErr w:type="spellStart"/>
      <w:r>
        <w:rPr>
          <w:rFonts w:ascii="Calibri" w:eastAsia="Calibri" w:hAnsi="Calibri" w:cs="Calibri"/>
          <w:sz w:val="22"/>
          <w:szCs w:val="22"/>
        </w:rPr>
        <w:t>PostgreSql</w:t>
      </w:r>
      <w:proofErr w:type="spellEnd"/>
      <w:r>
        <w:rPr>
          <w:rFonts w:ascii="Calibri" w:eastAsia="Calibri" w:hAnsi="Calibri" w:cs="Calibri"/>
          <w:sz w:val="22"/>
          <w:szCs w:val="22"/>
        </w:rPr>
        <w:t xml:space="preserve">, and Databricks.  Our </w:t>
      </w:r>
      <w:proofErr w:type="gramStart"/>
      <w:r>
        <w:rPr>
          <w:rFonts w:ascii="Calibri" w:eastAsia="Calibri" w:hAnsi="Calibri" w:cs="Calibri"/>
          <w:sz w:val="22"/>
          <w:szCs w:val="22"/>
        </w:rPr>
        <w:t>planed</w:t>
      </w:r>
      <w:proofErr w:type="gramEnd"/>
      <w:r>
        <w:rPr>
          <w:rFonts w:ascii="Calibri" w:eastAsia="Calibri" w:hAnsi="Calibri" w:cs="Calibri"/>
          <w:sz w:val="22"/>
          <w:szCs w:val="22"/>
        </w:rPr>
        <w:t xml:space="preserve"> next steps include support for </w:t>
      </w:r>
      <w:proofErr w:type="spellStart"/>
      <w:r>
        <w:rPr>
          <w:rFonts w:ascii="Calibri" w:eastAsia="Calibri" w:hAnsi="Calibri" w:cs="Calibri"/>
          <w:sz w:val="22"/>
          <w:szCs w:val="22"/>
        </w:rPr>
        <w:t>CDM</w:t>
      </w:r>
      <w:proofErr w:type="spellEnd"/>
      <w:r>
        <w:rPr>
          <w:rFonts w:ascii="Calibri" w:eastAsia="Calibri" w:hAnsi="Calibri" w:cs="Calibri"/>
          <w:sz w:val="22"/>
          <w:szCs w:val="22"/>
        </w:rPr>
        <w:t xml:space="preserve"> 5.3 and the support for the creation and sharing of resources such as cohort definitions for both production and testing purposes.  </w:t>
      </w:r>
    </w:p>
    <w:p w14:paraId="37D1C52E" w14:textId="77777777" w:rsidR="004111F9" w:rsidRDefault="004111F9">
      <w:pPr>
        <w:pBdr>
          <w:top w:val="nil"/>
          <w:left w:val="nil"/>
          <w:bottom w:val="nil"/>
          <w:right w:val="nil"/>
          <w:between w:val="nil"/>
        </w:pBdr>
        <w:spacing w:after="120"/>
        <w:jc w:val="both"/>
        <w:rPr>
          <w:rFonts w:ascii="Calibri" w:eastAsia="Calibri" w:hAnsi="Calibri" w:cs="Calibri"/>
          <w:b/>
          <w:sz w:val="22"/>
          <w:szCs w:val="22"/>
        </w:rPr>
      </w:pPr>
    </w:p>
    <w:p w14:paraId="2C93E196" w14:textId="77777777" w:rsidR="00291A08" w:rsidRDefault="00000000">
      <w:pPr>
        <w:keepNext/>
        <w:pBdr>
          <w:top w:val="nil"/>
          <w:left w:val="nil"/>
          <w:bottom w:val="nil"/>
          <w:right w:val="nil"/>
          <w:between w:val="nil"/>
        </w:pBdr>
        <w:spacing w:before="120" w:after="120"/>
        <w:jc w:val="center"/>
        <w:rPr>
          <w:rFonts w:ascii="Calibri" w:eastAsia="Calibri" w:hAnsi="Calibri" w:cs="Calibri"/>
          <w:b/>
          <w:color w:val="000000"/>
          <w:sz w:val="22"/>
          <w:szCs w:val="22"/>
        </w:rPr>
      </w:pPr>
      <w:r>
        <w:rPr>
          <w:rFonts w:ascii="Calibri" w:eastAsia="Calibri" w:hAnsi="Calibri" w:cs="Calibri"/>
          <w:b/>
          <w:color w:val="000000"/>
          <w:sz w:val="22"/>
          <w:szCs w:val="22"/>
        </w:rPr>
        <w:t>References</w:t>
      </w:r>
    </w:p>
    <w:p w14:paraId="4042142E" w14:textId="31EC7269" w:rsidR="00291A08" w:rsidRDefault="00C53954">
      <w:pPr>
        <w:numPr>
          <w:ilvl w:val="0"/>
          <w:numId w:val="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color w:val="000000"/>
          <w:sz w:val="22"/>
          <w:szCs w:val="22"/>
        </w:rPr>
        <w:t xml:space="preserve">Polites GitHub repository.  </w:t>
      </w:r>
      <w:hyperlink r:id="rId9" w:history="1">
        <w:r w:rsidRPr="00873A35">
          <w:rPr>
            <w:rStyle w:val="Hyperlink"/>
            <w:rFonts w:ascii="Calibri" w:eastAsia="Calibri" w:hAnsi="Calibri" w:cs="Calibri"/>
            <w:sz w:val="22"/>
            <w:szCs w:val="22"/>
          </w:rPr>
          <w:t>https://github.com/NACHC-CAD/polites</w:t>
        </w:r>
      </w:hyperlink>
      <w:r>
        <w:rPr>
          <w:rFonts w:ascii="Calibri" w:eastAsia="Calibri" w:hAnsi="Calibri" w:cs="Calibri"/>
          <w:color w:val="000000"/>
          <w:sz w:val="22"/>
          <w:szCs w:val="22"/>
        </w:rPr>
        <w:t xml:space="preserve">. </w:t>
      </w:r>
    </w:p>
    <w:p w14:paraId="420CF6A3" w14:textId="7894FC9F" w:rsidR="00291A08" w:rsidRDefault="00AC0B67">
      <w:pPr>
        <w:numPr>
          <w:ilvl w:val="0"/>
          <w:numId w:val="1"/>
        </w:numPr>
        <w:pBdr>
          <w:top w:val="nil"/>
          <w:left w:val="nil"/>
          <w:bottom w:val="nil"/>
          <w:right w:val="nil"/>
          <w:between w:val="nil"/>
        </w:pBdr>
        <w:jc w:val="both"/>
        <w:rPr>
          <w:rFonts w:ascii="Calibri" w:eastAsia="Calibri" w:hAnsi="Calibri" w:cs="Calibri"/>
          <w:sz w:val="22"/>
          <w:szCs w:val="22"/>
        </w:rPr>
      </w:pPr>
      <w:r w:rsidRPr="00AC0B67">
        <w:rPr>
          <w:rFonts w:ascii="Calibri" w:eastAsia="Calibri" w:hAnsi="Calibri" w:cs="Calibri"/>
          <w:sz w:val="22"/>
          <w:szCs w:val="22"/>
        </w:rPr>
        <w:t xml:space="preserve">Broadsea GitHub repository. </w:t>
      </w:r>
      <w:hyperlink r:id="rId10" w:history="1">
        <w:r w:rsidRPr="00873A35">
          <w:rPr>
            <w:rStyle w:val="Hyperlink"/>
            <w:rFonts w:ascii="Calibri" w:eastAsia="Calibri" w:hAnsi="Calibri" w:cs="Calibri"/>
            <w:sz w:val="22"/>
            <w:szCs w:val="22"/>
          </w:rPr>
          <w:t>https://github.com/OHDSI/Broadsea</w:t>
        </w:r>
      </w:hyperlink>
      <w:r w:rsidRPr="00AC0B67">
        <w:rPr>
          <w:rFonts w:ascii="Calibri" w:eastAsia="Calibri" w:hAnsi="Calibri" w:cs="Calibri"/>
          <w:sz w:val="22"/>
          <w:szCs w:val="22"/>
        </w:rPr>
        <w:t>.</w:t>
      </w:r>
      <w:r>
        <w:rPr>
          <w:rFonts w:ascii="Calibri" w:eastAsia="Calibri" w:hAnsi="Calibri" w:cs="Calibri"/>
          <w:sz w:val="22"/>
          <w:szCs w:val="22"/>
        </w:rPr>
        <w:t xml:space="preserve"> </w:t>
      </w:r>
    </w:p>
    <w:p w14:paraId="55358D22" w14:textId="431B3D94" w:rsidR="00AC0B67" w:rsidRDefault="00AC0B67">
      <w:pPr>
        <w:numPr>
          <w:ilvl w:val="0"/>
          <w:numId w:val="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 xml:space="preserve">Ajit Londhe, Lee Evans, Sanjay </w:t>
      </w:r>
      <w:proofErr w:type="spellStart"/>
      <w:r>
        <w:rPr>
          <w:rFonts w:ascii="Calibri" w:eastAsia="Calibri" w:hAnsi="Calibri" w:cs="Calibri"/>
          <w:sz w:val="22"/>
          <w:szCs w:val="22"/>
        </w:rPr>
        <w:t>Udoshi</w:t>
      </w:r>
      <w:proofErr w:type="spellEnd"/>
      <w:r>
        <w:rPr>
          <w:rFonts w:ascii="Calibri" w:eastAsia="Calibri" w:hAnsi="Calibri" w:cs="Calibri"/>
          <w:sz w:val="22"/>
          <w:szCs w:val="22"/>
        </w:rPr>
        <w:t xml:space="preserve">, </w:t>
      </w:r>
      <w:proofErr w:type="spellStart"/>
      <w:r w:rsidRPr="00AC0B67">
        <w:rPr>
          <w:rFonts w:ascii="Calibri" w:eastAsia="Calibri" w:hAnsi="Calibri" w:cs="Calibri"/>
          <w:sz w:val="22"/>
          <w:szCs w:val="22"/>
        </w:rPr>
        <w:t>Broadsea</w:t>
      </w:r>
      <w:proofErr w:type="spellEnd"/>
      <w:r w:rsidRPr="00AC0B67">
        <w:rPr>
          <w:rFonts w:ascii="Calibri" w:eastAsia="Calibri" w:hAnsi="Calibri" w:cs="Calibri"/>
          <w:sz w:val="22"/>
          <w:szCs w:val="22"/>
        </w:rPr>
        <w:t xml:space="preserve"> 3.0: “</w:t>
      </w:r>
      <w:proofErr w:type="spellStart"/>
      <w:r w:rsidRPr="00AC0B67">
        <w:rPr>
          <w:rFonts w:ascii="Calibri" w:eastAsia="Calibri" w:hAnsi="Calibri" w:cs="Calibri"/>
          <w:sz w:val="22"/>
          <w:szCs w:val="22"/>
        </w:rPr>
        <w:t>BROADening</w:t>
      </w:r>
      <w:proofErr w:type="spellEnd"/>
      <w:r w:rsidRPr="00AC0B67">
        <w:rPr>
          <w:rFonts w:ascii="Calibri" w:eastAsia="Calibri" w:hAnsi="Calibri" w:cs="Calibri"/>
          <w:sz w:val="22"/>
          <w:szCs w:val="22"/>
        </w:rPr>
        <w:t xml:space="preserve"> the </w:t>
      </w:r>
      <w:proofErr w:type="spellStart"/>
      <w:r w:rsidRPr="00AC0B67">
        <w:rPr>
          <w:rFonts w:ascii="Calibri" w:eastAsia="Calibri" w:hAnsi="Calibri" w:cs="Calibri"/>
          <w:sz w:val="22"/>
          <w:szCs w:val="22"/>
        </w:rPr>
        <w:t>ohdSEA</w:t>
      </w:r>
      <w:proofErr w:type="spellEnd"/>
      <w:r w:rsidRPr="00AC0B67">
        <w:rPr>
          <w:rFonts w:ascii="Calibri" w:eastAsia="Calibri" w:hAnsi="Calibri" w:cs="Calibri"/>
          <w:sz w:val="22"/>
          <w:szCs w:val="22"/>
        </w:rPr>
        <w:t>”</w:t>
      </w:r>
      <w:r>
        <w:rPr>
          <w:rFonts w:ascii="Calibri" w:eastAsia="Calibri" w:hAnsi="Calibri" w:cs="Calibri"/>
          <w:sz w:val="22"/>
          <w:szCs w:val="22"/>
        </w:rPr>
        <w:t xml:space="preserve">, </w:t>
      </w:r>
      <w:hyperlink r:id="rId11" w:history="1">
        <w:r w:rsidRPr="00873A35">
          <w:rPr>
            <w:rStyle w:val="Hyperlink"/>
            <w:rFonts w:ascii="Calibri" w:eastAsia="Calibri" w:hAnsi="Calibri" w:cs="Calibri"/>
            <w:sz w:val="22"/>
            <w:szCs w:val="22"/>
          </w:rPr>
          <w:t>https://www.ohdsi.org/wp-content/uploads/2023/10/Londhe-Ajit_Broadsea-3.0-BROADening-the-ohdSEA_2023symposium-Ajit-Londhe.pdf</w:t>
        </w:r>
      </w:hyperlink>
      <w:r>
        <w:rPr>
          <w:rFonts w:ascii="Calibri" w:eastAsia="Calibri" w:hAnsi="Calibri" w:cs="Calibri"/>
          <w:sz w:val="22"/>
          <w:szCs w:val="22"/>
        </w:rPr>
        <w:t xml:space="preserve">. </w:t>
      </w:r>
    </w:p>
    <w:sectPr w:rsidR="00AC0B67">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BEEF5E" w14:textId="77777777" w:rsidR="001700C9" w:rsidRDefault="001700C9">
      <w:r>
        <w:separator/>
      </w:r>
    </w:p>
  </w:endnote>
  <w:endnote w:type="continuationSeparator" w:id="0">
    <w:p w14:paraId="22005F06" w14:textId="77777777" w:rsidR="001700C9" w:rsidRDefault="00170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63C39" w14:textId="77777777" w:rsidR="00291A08" w:rsidRDefault="00291A08">
    <w:pPr>
      <w:pBdr>
        <w:top w:val="nil"/>
        <w:left w:val="nil"/>
        <w:bottom w:val="nil"/>
        <w:right w:val="nil"/>
        <w:between w:val="nil"/>
      </w:pBdr>
      <w:tabs>
        <w:tab w:val="center" w:pos="4320"/>
        <w:tab w:val="right" w:pos="8640"/>
      </w:tabs>
      <w:jc w:val="right"/>
      <w:rPr>
        <w:color w:val="000000"/>
      </w:rPr>
    </w:pPr>
  </w:p>
  <w:p w14:paraId="0B1137BE" w14:textId="77777777" w:rsidR="00291A08" w:rsidRDefault="00291A08">
    <w:pPr>
      <w:pBdr>
        <w:top w:val="nil"/>
        <w:left w:val="nil"/>
        <w:bottom w:val="nil"/>
        <w:right w:val="nil"/>
        <w:between w:val="nil"/>
      </w:pBdr>
      <w:tabs>
        <w:tab w:val="center" w:pos="4320"/>
        <w:tab w:val="right" w:pos="8640"/>
      </w:tabs>
      <w:spacing w:after="720"/>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796AA" w14:textId="77777777" w:rsidR="001700C9" w:rsidRDefault="001700C9">
      <w:r>
        <w:separator/>
      </w:r>
    </w:p>
  </w:footnote>
  <w:footnote w:type="continuationSeparator" w:id="0">
    <w:p w14:paraId="5044056D" w14:textId="77777777" w:rsidR="001700C9" w:rsidRDefault="00170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F93CD2"/>
    <w:multiLevelType w:val="multilevel"/>
    <w:tmpl w:val="11B6CB64"/>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742339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A08"/>
    <w:rsid w:val="000433B4"/>
    <w:rsid w:val="001700C9"/>
    <w:rsid w:val="001D2EA8"/>
    <w:rsid w:val="00291A08"/>
    <w:rsid w:val="004111F9"/>
    <w:rsid w:val="00635D3A"/>
    <w:rsid w:val="00677033"/>
    <w:rsid w:val="007417DD"/>
    <w:rsid w:val="007923E2"/>
    <w:rsid w:val="00845E8D"/>
    <w:rsid w:val="009E1A8E"/>
    <w:rsid w:val="00AC0B67"/>
    <w:rsid w:val="00B006F4"/>
    <w:rsid w:val="00C53954"/>
    <w:rsid w:val="00C954A5"/>
    <w:rsid w:val="00D467F4"/>
    <w:rsid w:val="00FD4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6086C"/>
  <w15:docId w15:val="{89FA5AB7-BE9D-4BFF-813A-EC085CF4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120"/>
      <w:jc w:val="center"/>
      <w:outlineLvl w:val="0"/>
    </w:pPr>
    <w:rPr>
      <w:b/>
      <w:color w:val="000000"/>
    </w:rPr>
  </w:style>
  <w:style w:type="paragraph" w:styleId="Heading2">
    <w:name w:val="heading 2"/>
    <w:basedOn w:val="Normal"/>
    <w:next w:val="Normal"/>
    <w:uiPriority w:val="9"/>
    <w:semiHidden/>
    <w:unhideWhenUsed/>
    <w:qFormat/>
    <w:pPr>
      <w:keepNext/>
      <w:pBdr>
        <w:top w:val="nil"/>
        <w:left w:val="nil"/>
        <w:bottom w:val="nil"/>
        <w:right w:val="nil"/>
        <w:between w:val="nil"/>
      </w:pBdr>
      <w:jc w:val="center"/>
      <w:outlineLvl w:val="1"/>
    </w:pPr>
    <w:rPr>
      <w:b/>
      <w:color w:val="000000"/>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pBdr>
        <w:top w:val="nil"/>
        <w:left w:val="nil"/>
        <w:bottom w:val="nil"/>
        <w:right w:val="nil"/>
        <w:between w:val="nil"/>
      </w:pBdr>
      <w:jc w:val="center"/>
      <w:outlineLvl w:val="4"/>
    </w:pPr>
    <w:rPr>
      <w:b/>
      <w:color w:val="000000"/>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53954"/>
    <w:rPr>
      <w:color w:val="0000FF" w:themeColor="hyperlink"/>
      <w:u w:val="single"/>
    </w:rPr>
  </w:style>
  <w:style w:type="character" w:styleId="UnresolvedMention">
    <w:name w:val="Unresolved Mention"/>
    <w:basedOn w:val="DefaultParagraphFont"/>
    <w:uiPriority w:val="99"/>
    <w:semiHidden/>
    <w:unhideWhenUsed/>
    <w:rsid w:val="00C539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hdsi.org/wp-content/uploads/2023/10/Londhe-Ajit_Broadsea-3.0-BROADening-the-ohdSEA_2023symposium-Ajit-Londhe.pdf" TargetMode="External"/><Relationship Id="rId5" Type="http://schemas.openxmlformats.org/officeDocument/2006/relationships/footnotes" Target="footnotes.xml"/><Relationship Id="rId10" Type="http://schemas.openxmlformats.org/officeDocument/2006/relationships/hyperlink" Target="https://github.com/OHDSI/Broadsea" TargetMode="External"/><Relationship Id="rId4" Type="http://schemas.openxmlformats.org/officeDocument/2006/relationships/webSettings" Target="webSettings.xml"/><Relationship Id="rId9" Type="http://schemas.openxmlformats.org/officeDocument/2006/relationships/hyperlink" Target="https://github.com/NACHC-CAD/pol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Gresh</cp:lastModifiedBy>
  <cp:revision>7</cp:revision>
  <dcterms:created xsi:type="dcterms:W3CDTF">2024-06-18T07:20:00Z</dcterms:created>
  <dcterms:modified xsi:type="dcterms:W3CDTF">2024-06-18T08:38:00Z</dcterms:modified>
</cp:coreProperties>
</file>