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noProof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column">
              <wp:posOffset>-537210</wp:posOffset>
            </wp:positionH>
            <wp:positionV relativeFrom="paragraph">
              <wp:posOffset>0</wp:posOffset>
            </wp:positionV>
            <wp:extent cx="1937385" cy="790575"/>
            <wp:effectExtent l="0" t="0" r="5715" b="9525"/>
            <wp:wrapSquare wrapText="bothSides"/>
            <wp:docPr id="1026" name="Imagen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37385" cy="7905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pStyle w:val="style0"/>
        <w:rPr/>
      </w:pPr>
      <w:r>
        <w:rPr/>
        <w:br w:clear="all"/>
      </w:r>
    </w:p>
    <w:p>
      <w:pPr>
        <w:pStyle w:val="style0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 xml:space="preserve">PROGRAMA TIPO: </w:t>
      </w:r>
      <w:r>
        <w:rPr>
          <w:rFonts w:ascii="Arial" w:cs="Arial" w:hAnsi="Arial"/>
          <w:b/>
          <w:bCs/>
          <w:sz w:val="24"/>
          <w:szCs w:val="24"/>
        </w:rPr>
        <w:t xml:space="preserve">PROGRAMA </w:t>
      </w:r>
      <w:r>
        <w:rPr>
          <w:rFonts w:ascii="Arial" w:cs="Arial" w:hAnsi="Arial"/>
          <w:b/>
          <w:bCs/>
          <w:sz w:val="24"/>
          <w:szCs w:val="24"/>
        </w:rPr>
        <w:t xml:space="preserve">DEL </w:t>
      </w:r>
      <w:r>
        <w:rPr>
          <w:rFonts w:ascii="Arial" w:cs="Arial" w:hAnsi="Arial"/>
          <w:b/>
          <w:bCs/>
          <w:sz w:val="24"/>
          <w:szCs w:val="24"/>
        </w:rPr>
        <w:t>TALLER DE FORMACIÓN DE FORMADORES</w:t>
      </w:r>
      <w:r>
        <w:rPr>
          <w:rFonts w:ascii="Arial" w:cs="Arial" w:hAnsi="Arial"/>
          <w:b/>
          <w:bCs/>
          <w:sz w:val="24"/>
          <w:szCs w:val="24"/>
        </w:rPr>
        <w:t xml:space="preserve"> PARA EL ACOMPAÑAMIENTO A LOS NAE.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Modalidad:</w:t>
      </w:r>
      <w:r>
        <w:rPr>
          <w:rFonts w:ascii="Arial" w:cs="Arial" w:hAnsi="Arial"/>
          <w:sz w:val="24"/>
          <w:szCs w:val="24"/>
        </w:rPr>
        <w:t xml:space="preserve"> Presencial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Duración:</w:t>
      </w:r>
      <w:r>
        <w:rPr>
          <w:rFonts w:ascii="Arial" w:cs="Arial" w:hAnsi="Arial"/>
          <w:sz w:val="24"/>
          <w:szCs w:val="24"/>
        </w:rPr>
        <w:t xml:space="preserve"> 1 día (</w:t>
      </w:r>
      <w:r>
        <w:rPr>
          <w:rFonts w:ascii="Arial" w:cs="Arial" w:hAnsi="Arial"/>
          <w:sz w:val="24"/>
          <w:szCs w:val="24"/>
        </w:rPr>
        <w:t>8</w:t>
      </w:r>
      <w:r>
        <w:rPr>
          <w:rFonts w:ascii="Arial" w:cs="Arial" w:hAnsi="Arial"/>
          <w:sz w:val="24"/>
          <w:szCs w:val="24"/>
        </w:rPr>
        <w:t xml:space="preserve"> horas efectivas)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 xml:space="preserve">Horario: </w:t>
      </w:r>
      <w:r>
        <w:rPr>
          <w:rFonts w:ascii="Arial" w:cs="Arial" w:hAnsi="Arial"/>
          <w:sz w:val="24"/>
          <w:szCs w:val="24"/>
        </w:rPr>
        <w:t>Jornada completa</w:t>
      </w:r>
      <w:r>
        <w:rPr>
          <w:rFonts w:ascii="Arial" w:cs="Arial" w:hAnsi="Arial"/>
          <w:sz w:val="24"/>
          <w:szCs w:val="24"/>
        </w:rPr>
        <w:t xml:space="preserve"> (</w:t>
      </w:r>
      <w:r>
        <w:rPr>
          <w:rFonts w:ascii="Arial" w:cs="Arial" w:hAnsi="Arial"/>
          <w:sz w:val="24"/>
          <w:szCs w:val="24"/>
        </w:rPr>
        <w:t>8</w:t>
      </w:r>
      <w:r>
        <w:rPr>
          <w:rFonts w:ascii="Arial" w:cs="Arial" w:hAnsi="Arial"/>
          <w:sz w:val="24"/>
          <w:szCs w:val="24"/>
        </w:rPr>
        <w:t>:00</w:t>
      </w:r>
      <w:r>
        <w:rPr>
          <w:rFonts w:ascii="Arial" w:cs="Arial" w:hAnsi="Arial"/>
          <w:sz w:val="24"/>
          <w:szCs w:val="24"/>
        </w:rPr>
        <w:t xml:space="preserve"> am</w:t>
      </w:r>
      <w:r>
        <w:rPr>
          <w:rFonts w:ascii="Arial" w:cs="Arial" w:hAnsi="Arial"/>
          <w:sz w:val="24"/>
          <w:szCs w:val="24"/>
        </w:rPr>
        <w:t xml:space="preserve"> a </w:t>
      </w:r>
      <w:r>
        <w:rPr>
          <w:rFonts w:ascii="Arial" w:cs="Arial" w:hAnsi="Arial"/>
          <w:sz w:val="24"/>
          <w:szCs w:val="24"/>
        </w:rPr>
        <w:t>1</w:t>
      </w:r>
      <w:r>
        <w:rPr>
          <w:rFonts w:ascii="Arial" w:cs="Arial" w:hAnsi="Arial"/>
          <w:sz w:val="24"/>
          <w:szCs w:val="24"/>
        </w:rPr>
        <w:t>8</w:t>
      </w:r>
      <w:r>
        <w:rPr>
          <w:rFonts w:ascii="Arial" w:cs="Arial" w:hAnsi="Arial"/>
          <w:sz w:val="24"/>
          <w:szCs w:val="24"/>
        </w:rPr>
        <w:t>:</w:t>
      </w:r>
      <w:r>
        <w:rPr>
          <w:rFonts w:ascii="Arial" w:cs="Arial" w:hAnsi="Arial"/>
          <w:sz w:val="24"/>
          <w:szCs w:val="24"/>
        </w:rPr>
        <w:t>15</w:t>
      </w:r>
      <w:r>
        <w:rPr>
          <w:rFonts w:ascii="Arial" w:cs="Arial" w:hAnsi="Arial"/>
          <w:sz w:val="24"/>
          <w:szCs w:val="24"/>
        </w:rPr>
        <w:t xml:space="preserve"> pm</w:t>
      </w:r>
      <w:r>
        <w:rPr>
          <w:rFonts w:ascii="Arial" w:cs="Arial" w:hAnsi="Arial"/>
          <w:sz w:val="24"/>
          <w:szCs w:val="24"/>
        </w:rPr>
        <w:t xml:space="preserve">) </w:t>
      </w:r>
    </w:p>
    <w:p>
      <w:pPr>
        <w:pStyle w:val="style0"/>
        <w:rPr>
          <w:rFonts w:ascii="Arial" w:cs="Arial" w:hAnsi="Arial"/>
        </w:rPr>
      </w:pPr>
      <w:r>
        <w:rPr>
          <w:rFonts w:ascii="Arial" w:cs="Arial" w:hAnsi="Arial"/>
          <w:b/>
          <w:bCs/>
          <w:sz w:val="24"/>
          <w:szCs w:val="24"/>
        </w:rPr>
        <w:t xml:space="preserve">Regiones: </w:t>
      </w:r>
      <w:r>
        <w:rPr>
          <w:rFonts w:ascii="Arial" w:cs="Arial" w:hAnsi="Arial"/>
          <w:sz w:val="24"/>
          <w:szCs w:val="24"/>
        </w:rPr>
        <w:t>Occidente (Matanzas), Centro (Ciego de Ávila)</w:t>
      </w:r>
      <w:r>
        <w:rPr>
          <w:rFonts w:ascii="Arial" w:cs="Arial" w:hAnsi="Arial"/>
          <w:sz w:val="24"/>
          <w:szCs w:val="24"/>
        </w:rPr>
        <w:t xml:space="preserve"> y Oriente (Guantánamo)</w:t>
      </w:r>
    </w:p>
    <w:p>
      <w:pPr>
        <w:pStyle w:val="style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 xml:space="preserve">Objetivo </w:t>
      </w:r>
      <w:r>
        <w:rPr>
          <w:rFonts w:ascii="Arial" w:cs="Arial" w:hAnsi="Arial"/>
          <w:b/>
          <w:bCs/>
          <w:sz w:val="24"/>
          <w:szCs w:val="24"/>
        </w:rPr>
        <w:t>g</w:t>
      </w:r>
      <w:r>
        <w:rPr>
          <w:rFonts w:ascii="Arial" w:cs="Arial" w:hAnsi="Arial"/>
          <w:b/>
          <w:bCs/>
          <w:sz w:val="24"/>
          <w:szCs w:val="24"/>
        </w:rPr>
        <w:t>eneral del Taller</w:t>
      </w:r>
      <w:r>
        <w:rPr>
          <w:rFonts w:ascii="Arial" w:cs="Arial" w:hAnsi="Arial"/>
          <w:b/>
          <w:bCs/>
          <w:sz w:val="24"/>
          <w:szCs w:val="24"/>
        </w:rPr>
        <w:t xml:space="preserve">: </w:t>
      </w:r>
      <w:r>
        <w:rPr>
          <w:rFonts w:ascii="Arial" w:cs="Arial" w:hAnsi="Arial"/>
          <w:sz w:val="24"/>
          <w:szCs w:val="24"/>
        </w:rPr>
        <w:t xml:space="preserve">Fortalecer, mediante actividades prácticas y participativas, las capacidades de las personas participantes para aplicar las principales herramientas pedagógicas y de acompañamiento empresarial del Programa </w:t>
      </w:r>
      <w:r>
        <w:rPr>
          <w:rFonts w:ascii="Arial" w:cs="Arial" w:hAnsi="Arial"/>
          <w:sz w:val="24"/>
          <w:szCs w:val="24"/>
        </w:rPr>
        <w:t>FdF</w:t>
      </w:r>
      <w:r>
        <w:rPr>
          <w:rFonts w:ascii="Arial" w:cs="Arial" w:hAnsi="Arial"/>
          <w:sz w:val="24"/>
          <w:szCs w:val="24"/>
        </w:rPr>
        <w:t>, desde el diagnóstico y la formulación de planes de mejora hasta la mentoría, evaluación y transferencia metodológica, preparando su posterior aplicación y multiplicación en los territorios.</w:t>
      </w:r>
    </w:p>
    <w:p>
      <w:pPr>
        <w:pStyle w:val="style0"/>
        <w:jc w:val="both"/>
        <w:rPr/>
      </w:pPr>
    </w:p>
    <w:p>
      <w:pPr>
        <w:pStyle w:val="style0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AGENDA</w:t>
      </w:r>
    </w:p>
    <w:tbl>
      <w:tblPr>
        <w:tblStyle w:val="style4098"/>
        <w:tblW w:w="0" w:type="auto"/>
        <w:tblLook w:val="04A0" w:firstRow="1" w:lastRow="0" w:firstColumn="1" w:lastColumn="0" w:noHBand="0" w:noVBand="1"/>
      </w:tblPr>
      <w:tblGrid>
        <w:gridCol w:w="1560"/>
        <w:gridCol w:w="6944"/>
      </w:tblGrid>
      <w:tr>
        <w:trPr>
          <w:tblHeader/>
        </w:trPr>
        <w:tc>
          <w:tcPr>
            <w:tcW w:w="1560" w:type="dxa"/>
            <w:tcBorders/>
            <w:hideMark/>
          </w:tcPr>
          <w:p>
            <w:pPr>
              <w:pStyle w:val="style0"/>
              <w:jc w:val="left"/>
              <w:rPr>
                <w:rFonts w:ascii="Calibri" w:cs="Calibri" w:hAnsi="Calibri"/>
                <w:b/>
                <w:bCs/>
                <w:sz w:val="22"/>
                <w:lang w:val="en-US"/>
              </w:rPr>
            </w:pPr>
            <w:r>
              <w:rPr>
                <w:rFonts w:ascii="Calibri" w:cs="Calibri" w:hAnsi="Calibri"/>
                <w:b/>
                <w:bCs/>
                <w:sz w:val="22"/>
                <w:lang w:val="en-US"/>
              </w:rPr>
              <w:t>Hora</w:t>
            </w:r>
          </w:p>
        </w:tc>
        <w:tc>
          <w:tcPr>
            <w:tcW w:w="6944" w:type="dxa"/>
            <w:tcBorders/>
            <w:hideMark/>
          </w:tcPr>
          <w:p>
            <w:pPr>
              <w:pStyle w:val="style0"/>
              <w:rPr>
                <w:rFonts w:ascii="Calibri" w:cs="Calibri" w:hAnsi="Calibri"/>
                <w:b/>
                <w:bCs/>
                <w:sz w:val="22"/>
                <w:lang w:val="en-US"/>
              </w:rPr>
            </w:pPr>
            <w:r>
              <w:rPr>
                <w:rFonts w:ascii="Calibri" w:cs="Calibri" w:hAnsi="Calibri"/>
                <w:b/>
                <w:bCs/>
                <w:sz w:val="22"/>
                <w:lang w:val="en-US"/>
              </w:rPr>
              <w:t>Actividad</w:t>
            </w:r>
          </w:p>
        </w:tc>
      </w:tr>
      <w:tr>
        <w:tblPrEx/>
        <w:trPr/>
        <w:tc>
          <w:tcPr>
            <w:tcW w:w="1560" w:type="dxa"/>
            <w:tcBorders/>
            <w:hideMark/>
          </w:tcPr>
          <w:p>
            <w:pPr>
              <w:pStyle w:val="style0"/>
              <w:rPr>
                <w:rFonts w:ascii="Calibri" w:cs="Calibri" w:hAnsi="Calibri"/>
                <w:sz w:val="22"/>
                <w:lang w:val="en-US"/>
              </w:rPr>
            </w:pPr>
            <w:r>
              <w:rPr>
                <w:rFonts w:ascii="Calibri" w:cs="Calibri" w:hAnsi="Calibri"/>
                <w:b/>
                <w:bCs/>
                <w:sz w:val="22"/>
                <w:lang w:val="en-US"/>
              </w:rPr>
              <w:t>8:00 – 8:15</w:t>
            </w:r>
          </w:p>
        </w:tc>
        <w:tc>
          <w:tcPr>
            <w:tcW w:w="6944" w:type="dxa"/>
            <w:tcBorders/>
            <w:hideMark/>
          </w:tcPr>
          <w:p>
            <w:pPr>
              <w:pStyle w:val="style0"/>
              <w:rPr>
                <w:rFonts w:cs="Calibri"/>
                <w:lang w:val="es-419"/>
              </w:rPr>
            </w:pPr>
            <w:r>
              <w:rPr>
                <w:rFonts w:cs="Calibri"/>
                <w:b/>
                <w:bCs/>
                <w:lang w:val="es-419"/>
              </w:rPr>
              <w:t>Bienvenida y apertura.</w:t>
            </w:r>
            <w:r>
              <w:rPr>
                <w:rFonts w:cs="Calibri"/>
                <w:lang w:val="es-419"/>
              </w:rPr>
              <w:t xml:space="preserve"> Presentación del objetivo de la jornada, metodología de trabajo, agenda y orientaciones generales.</w:t>
            </w:r>
          </w:p>
        </w:tc>
      </w:tr>
      <w:tr>
        <w:tblPrEx/>
        <w:trPr/>
        <w:tc>
          <w:tcPr>
            <w:tcW w:w="1560" w:type="dxa"/>
            <w:tcBorders/>
            <w:hideMark/>
          </w:tcPr>
          <w:p>
            <w:pPr>
              <w:pStyle w:val="style0"/>
              <w:rPr>
                <w:rFonts w:ascii="Calibri" w:cs="Calibri" w:hAnsi="Calibri"/>
                <w:sz w:val="22"/>
                <w:lang w:val="en-US"/>
              </w:rPr>
            </w:pPr>
            <w:r>
              <w:rPr>
                <w:rFonts w:ascii="Calibri" w:cs="Calibri" w:hAnsi="Calibri"/>
                <w:b/>
                <w:bCs/>
                <w:sz w:val="22"/>
                <w:lang w:val="en-US"/>
              </w:rPr>
              <w:t>8:15 – 10:15</w:t>
            </w:r>
          </w:p>
        </w:tc>
        <w:tc>
          <w:tcPr>
            <w:tcW w:w="6944" w:type="dxa"/>
            <w:tcBorders/>
            <w:hideMark/>
          </w:tcPr>
          <w:p>
            <w:pPr>
              <w:pStyle w:val="style0"/>
              <w:rPr>
                <w:rFonts w:cs="Calibri"/>
                <w:lang w:val="es-419"/>
              </w:rPr>
            </w:pPr>
            <w:r>
              <w:rPr>
                <w:rFonts w:cs="Calibri"/>
                <w:b/>
                <w:bCs/>
                <w:lang w:val="es-419"/>
              </w:rPr>
              <w:t>Módulo 1. Ingeniería de la formación y facilitación de personas adultas (2 h).</w:t>
            </w:r>
            <w:r>
              <w:rPr>
                <w:rFonts w:cs="Calibri"/>
                <w:lang w:val="es-419"/>
              </w:rPr>
              <w:t xml:space="preserve"> Metodologías activas, facilitación, comunicación, gestión de dinámicas grupales y </w:t>
            </w:r>
            <w:r>
              <w:rPr>
                <w:rFonts w:cs="Calibri"/>
                <w:lang w:val="es-419"/>
              </w:rPr>
              <w:t>microfacilitación</w:t>
            </w:r>
            <w:r>
              <w:rPr>
                <w:rFonts w:cs="Calibri"/>
                <w:lang w:val="es-419"/>
              </w:rPr>
              <w:t>.</w:t>
            </w:r>
          </w:p>
        </w:tc>
      </w:tr>
      <w:tr>
        <w:tblPrEx/>
        <w:trPr/>
        <w:tc>
          <w:tcPr>
            <w:tcW w:w="1560" w:type="dxa"/>
            <w:tcBorders/>
            <w:hideMark/>
          </w:tcPr>
          <w:p>
            <w:pPr>
              <w:pStyle w:val="style0"/>
              <w:rPr>
                <w:rFonts w:ascii="Calibri" w:cs="Calibri" w:hAnsi="Calibri"/>
                <w:sz w:val="22"/>
                <w:lang w:val="en-US"/>
              </w:rPr>
            </w:pPr>
            <w:r>
              <w:rPr>
                <w:rFonts w:ascii="Calibri" w:cs="Calibri" w:hAnsi="Calibri"/>
                <w:b/>
                <w:bCs/>
                <w:sz w:val="22"/>
                <w:lang w:val="en-US"/>
              </w:rPr>
              <w:t>10:15 – 10:30</w:t>
            </w:r>
          </w:p>
        </w:tc>
        <w:tc>
          <w:tcPr>
            <w:tcW w:w="6944" w:type="dxa"/>
            <w:tcBorders/>
            <w:hideMark/>
          </w:tcPr>
          <w:p>
            <w:pPr>
              <w:pStyle w:val="style0"/>
              <w:rPr>
                <w:rFonts w:cs="Calibri"/>
                <w:lang w:val="en-US"/>
              </w:rPr>
            </w:pPr>
            <w:r>
              <w:rPr>
                <w:rFonts w:cs="Calibri"/>
                <w:b/>
                <w:bCs/>
                <w:lang w:val="en-US"/>
              </w:rPr>
              <w:t xml:space="preserve">Pausa – </w:t>
            </w:r>
            <w:r>
              <w:rPr>
                <w:rFonts w:cs="Calibri"/>
                <w:b/>
                <w:bCs/>
                <w:lang w:val="en-US"/>
              </w:rPr>
              <w:t>Merienda</w:t>
            </w:r>
            <w:r>
              <w:rPr>
                <w:rFonts w:cs="Calibri"/>
                <w:b/>
                <w:bCs/>
                <w:lang w:val="en-US"/>
              </w:rPr>
              <w:t>.</w:t>
            </w:r>
          </w:p>
        </w:tc>
      </w:tr>
      <w:tr>
        <w:tblPrEx/>
        <w:trPr/>
        <w:tc>
          <w:tcPr>
            <w:tcW w:w="1560" w:type="dxa"/>
            <w:tcBorders/>
            <w:hideMark/>
          </w:tcPr>
          <w:p>
            <w:pPr>
              <w:pStyle w:val="style0"/>
              <w:rPr>
                <w:rFonts w:ascii="Calibri" w:cs="Calibri" w:hAnsi="Calibri"/>
                <w:sz w:val="22"/>
                <w:lang w:val="en-US"/>
              </w:rPr>
            </w:pPr>
            <w:r>
              <w:rPr>
                <w:rFonts w:ascii="Calibri" w:cs="Calibri" w:hAnsi="Calibri"/>
                <w:b/>
                <w:bCs/>
                <w:sz w:val="22"/>
                <w:lang w:val="en-US"/>
              </w:rPr>
              <w:t>10:30 – 11:30</w:t>
            </w:r>
          </w:p>
        </w:tc>
        <w:tc>
          <w:tcPr>
            <w:tcW w:w="6944" w:type="dxa"/>
            <w:tcBorders/>
            <w:hideMark/>
          </w:tcPr>
          <w:p>
            <w:pPr>
              <w:pStyle w:val="style0"/>
              <w:rPr>
                <w:rFonts w:cs="Calibri"/>
                <w:lang w:val="es-419"/>
              </w:rPr>
            </w:pPr>
            <w:r>
              <w:rPr>
                <w:rFonts w:cs="Calibri"/>
                <w:b/>
                <w:bCs/>
                <w:lang w:val="es-419"/>
              </w:rPr>
              <w:t>Módulo 2. Diagnóstico empresarial integral de los NAE (1 h).</w:t>
            </w:r>
            <w:r>
              <w:rPr>
                <w:rFonts w:cs="Calibri"/>
                <w:lang w:val="es-419"/>
              </w:rPr>
              <w:t xml:space="preserve"> Clínica práctica de diagnóstico: identificación de problemas, análisis causal, priorización de necesidades y selección de modalidades de acompañamiento.</w:t>
            </w:r>
          </w:p>
        </w:tc>
      </w:tr>
      <w:tr>
        <w:tblPrEx/>
        <w:trPr/>
        <w:tc>
          <w:tcPr>
            <w:tcW w:w="1560" w:type="dxa"/>
            <w:tcBorders/>
            <w:hideMark/>
          </w:tcPr>
          <w:p>
            <w:pPr>
              <w:pStyle w:val="style0"/>
              <w:rPr>
                <w:rFonts w:ascii="Calibri" w:cs="Calibri" w:hAnsi="Calibri"/>
                <w:sz w:val="22"/>
                <w:lang w:val="en-US"/>
              </w:rPr>
            </w:pPr>
            <w:r>
              <w:rPr>
                <w:rFonts w:ascii="Calibri" w:cs="Calibri" w:hAnsi="Calibri"/>
                <w:b/>
                <w:bCs/>
                <w:sz w:val="22"/>
                <w:lang w:val="en-US"/>
              </w:rPr>
              <w:t>11:30 – 12:30</w:t>
            </w:r>
          </w:p>
        </w:tc>
        <w:tc>
          <w:tcPr>
            <w:tcW w:w="6944" w:type="dxa"/>
            <w:tcBorders/>
            <w:hideMark/>
          </w:tcPr>
          <w:p>
            <w:pPr>
              <w:pStyle w:val="style0"/>
              <w:rPr>
                <w:rFonts w:cs="Calibri"/>
                <w:lang w:val="es-419"/>
              </w:rPr>
            </w:pPr>
            <w:r>
              <w:rPr>
                <w:rFonts w:cs="Calibri"/>
                <w:b/>
                <w:bCs/>
                <w:lang w:val="es-419"/>
              </w:rPr>
              <w:t>Módulo 3. Diseño de planes de mejora empresarial (1 h).</w:t>
            </w:r>
            <w:r>
              <w:rPr>
                <w:rFonts w:cs="Calibri"/>
                <w:lang w:val="es-419"/>
              </w:rPr>
              <w:t xml:space="preserve"> Del diagnóstico al Plan de Mejora: objetivos, acciones, responsables, plazos, recursos e indicadores.</w:t>
            </w:r>
          </w:p>
        </w:tc>
      </w:tr>
      <w:tr>
        <w:tblPrEx/>
        <w:trPr/>
        <w:tc>
          <w:tcPr>
            <w:tcW w:w="1560" w:type="dxa"/>
            <w:tcBorders/>
            <w:hideMark/>
          </w:tcPr>
          <w:p>
            <w:pPr>
              <w:pStyle w:val="style0"/>
              <w:rPr>
                <w:rFonts w:ascii="Calibri" w:cs="Calibri" w:hAnsi="Calibri"/>
                <w:sz w:val="22"/>
                <w:lang w:val="en-US"/>
              </w:rPr>
            </w:pPr>
            <w:r>
              <w:rPr>
                <w:rFonts w:ascii="Calibri" w:cs="Calibri" w:hAnsi="Calibri"/>
                <w:b/>
                <w:bCs/>
                <w:sz w:val="22"/>
                <w:lang w:val="en-US"/>
              </w:rPr>
              <w:t>12:30 – 12:45</w:t>
            </w:r>
          </w:p>
        </w:tc>
        <w:tc>
          <w:tcPr>
            <w:tcW w:w="6944" w:type="dxa"/>
            <w:tcBorders/>
            <w:hideMark/>
          </w:tcPr>
          <w:p>
            <w:pPr>
              <w:pStyle w:val="style0"/>
              <w:rPr>
                <w:rFonts w:cs="Calibri"/>
                <w:lang w:val="es-419"/>
              </w:rPr>
            </w:pPr>
            <w:r>
              <w:rPr>
                <w:rFonts w:cs="Calibri"/>
                <w:b/>
                <w:bCs/>
                <w:lang w:val="es-419"/>
              </w:rPr>
              <w:t>Módulo 4. Implementación, mentoría y seguimiento – Parte I.</w:t>
            </w:r>
            <w:r>
              <w:rPr>
                <w:rFonts w:cs="Calibri"/>
                <w:lang w:val="es-419"/>
              </w:rPr>
              <w:t xml:space="preserve"> Introducción al acompañamiento y transición del Plan de Mejora hacia la mentoría: roles, acuerdos y límites del acompañamiento.</w:t>
            </w:r>
          </w:p>
        </w:tc>
      </w:tr>
      <w:tr>
        <w:tblPrEx/>
        <w:trPr/>
        <w:tc>
          <w:tcPr>
            <w:tcW w:w="1560" w:type="dxa"/>
            <w:tcBorders/>
            <w:hideMark/>
          </w:tcPr>
          <w:p>
            <w:pPr>
              <w:pStyle w:val="style0"/>
              <w:rPr>
                <w:rFonts w:ascii="Calibri" w:cs="Calibri" w:hAnsi="Calibri"/>
                <w:sz w:val="22"/>
                <w:lang w:val="en-US"/>
              </w:rPr>
            </w:pPr>
            <w:r>
              <w:rPr>
                <w:rFonts w:ascii="Calibri" w:cs="Calibri" w:hAnsi="Calibri"/>
                <w:b/>
                <w:bCs/>
                <w:sz w:val="22"/>
                <w:lang w:val="en-US"/>
              </w:rPr>
              <w:t>12:45 – 13:30</w:t>
            </w:r>
          </w:p>
        </w:tc>
        <w:tc>
          <w:tcPr>
            <w:tcW w:w="6944" w:type="dxa"/>
            <w:tcBorders/>
            <w:hideMark/>
          </w:tcPr>
          <w:p>
            <w:pPr>
              <w:pStyle w:val="style0"/>
              <w:rPr>
                <w:rFonts w:cs="Calibri"/>
                <w:lang w:val="en-US"/>
              </w:rPr>
            </w:pPr>
            <w:r>
              <w:rPr>
                <w:rFonts w:cs="Calibri"/>
                <w:b/>
                <w:bCs/>
                <w:lang w:val="en-US"/>
              </w:rPr>
              <w:t>Almuerzo.</w:t>
            </w:r>
          </w:p>
        </w:tc>
      </w:tr>
      <w:tr>
        <w:tblPrEx/>
        <w:trPr/>
        <w:tc>
          <w:tcPr>
            <w:tcW w:w="1560" w:type="dxa"/>
            <w:tcBorders/>
            <w:hideMark/>
          </w:tcPr>
          <w:p>
            <w:pPr>
              <w:pStyle w:val="style0"/>
              <w:rPr>
                <w:rFonts w:ascii="Calibri" w:cs="Calibri" w:hAnsi="Calibri"/>
                <w:sz w:val="22"/>
                <w:lang w:val="en-US"/>
              </w:rPr>
            </w:pPr>
            <w:r>
              <w:rPr>
                <w:rFonts w:ascii="Calibri" w:cs="Calibri" w:hAnsi="Calibri"/>
                <w:b/>
                <w:bCs/>
                <w:sz w:val="22"/>
                <w:lang w:val="en-US"/>
              </w:rPr>
              <w:t>13:30 – 14:45</w:t>
            </w:r>
          </w:p>
        </w:tc>
        <w:tc>
          <w:tcPr>
            <w:tcW w:w="6944" w:type="dxa"/>
            <w:tcBorders/>
            <w:hideMark/>
          </w:tcPr>
          <w:p>
            <w:pPr>
              <w:pStyle w:val="style0"/>
              <w:rPr>
                <w:rFonts w:cs="Calibri"/>
                <w:lang w:val="en-US"/>
              </w:rPr>
            </w:pPr>
            <w:r>
              <w:rPr>
                <w:rFonts w:cs="Calibri"/>
                <w:b/>
                <w:bCs/>
                <w:lang w:val="es-419"/>
              </w:rPr>
              <w:t>Módulo 4. Implementación, mentoría y seguimiento – Parte II (1 h 15 min).</w:t>
            </w:r>
            <w:r>
              <w:rPr>
                <w:rFonts w:cs="Calibri"/>
                <w:lang w:val="es-419"/>
              </w:rPr>
              <w:t xml:space="preserve"> Práctica de mentoría empresarial mediante simulación: escucha activa, preguntas reflexivas, retroalimentación, autonomía, acuerdos y compromisos. </w:t>
            </w:r>
            <w:r>
              <w:rPr>
                <w:rFonts w:cs="Calibri"/>
                <w:b/>
                <w:bCs/>
                <w:lang w:val="en-US"/>
              </w:rPr>
              <w:t>Total M4: 1 h 30 min.</w:t>
            </w:r>
          </w:p>
        </w:tc>
      </w:tr>
      <w:tr>
        <w:tblPrEx/>
        <w:trPr/>
        <w:tc>
          <w:tcPr>
            <w:tcW w:w="1560" w:type="dxa"/>
            <w:tcBorders/>
            <w:hideMark/>
          </w:tcPr>
          <w:p>
            <w:pPr>
              <w:pStyle w:val="style0"/>
              <w:rPr>
                <w:rFonts w:ascii="Calibri" w:cs="Calibri" w:hAnsi="Calibri"/>
                <w:sz w:val="22"/>
                <w:lang w:val="en-US"/>
              </w:rPr>
            </w:pPr>
            <w:r>
              <w:rPr>
                <w:rFonts w:ascii="Calibri" w:cs="Calibri" w:hAnsi="Calibri"/>
                <w:b/>
                <w:bCs/>
                <w:sz w:val="22"/>
                <w:lang w:val="en-US"/>
              </w:rPr>
              <w:t>14:45 – 15:15</w:t>
            </w:r>
          </w:p>
        </w:tc>
        <w:tc>
          <w:tcPr>
            <w:tcW w:w="6944" w:type="dxa"/>
            <w:tcBorders/>
            <w:hideMark/>
          </w:tcPr>
          <w:p>
            <w:pPr>
              <w:pStyle w:val="style0"/>
              <w:rPr>
                <w:rFonts w:cs="Calibri"/>
                <w:lang w:val="es-419"/>
              </w:rPr>
            </w:pPr>
            <w:r>
              <w:rPr>
                <w:rFonts w:cs="Calibri"/>
                <w:b/>
                <w:bCs/>
                <w:lang w:val="es-419"/>
              </w:rPr>
              <w:t>Módulo 5. Evaluación del acompañamiento y mejora continua (30 min).</w:t>
            </w:r>
            <w:r>
              <w:rPr>
                <w:rFonts w:cs="Calibri"/>
                <w:lang w:val="es-419"/>
              </w:rPr>
              <w:t xml:space="preserve"> Revisión de indicadores y evidencias, análisis de avances y toma de decisiones de mejora.</w:t>
            </w:r>
          </w:p>
        </w:tc>
      </w:tr>
      <w:tr>
        <w:tblPrEx/>
        <w:trPr/>
        <w:tc>
          <w:tcPr>
            <w:tcW w:w="1560" w:type="dxa"/>
            <w:tcBorders/>
            <w:hideMark/>
          </w:tcPr>
          <w:p>
            <w:pPr>
              <w:pStyle w:val="style0"/>
              <w:rPr>
                <w:rFonts w:ascii="Calibri" w:cs="Calibri" w:hAnsi="Calibri"/>
                <w:sz w:val="22"/>
                <w:lang w:val="en-US"/>
              </w:rPr>
            </w:pPr>
            <w:r>
              <w:rPr>
                <w:rFonts w:ascii="Calibri" w:cs="Calibri" w:hAnsi="Calibri"/>
                <w:b/>
                <w:bCs/>
                <w:sz w:val="22"/>
                <w:lang w:val="en-US"/>
              </w:rPr>
              <w:t>15:15 – 15:45</w:t>
            </w:r>
          </w:p>
        </w:tc>
        <w:tc>
          <w:tcPr>
            <w:tcW w:w="6944" w:type="dxa"/>
            <w:tcBorders/>
            <w:hideMark/>
          </w:tcPr>
          <w:p>
            <w:pPr>
              <w:pStyle w:val="style0"/>
              <w:rPr>
                <w:rFonts w:cs="Calibri"/>
                <w:lang w:val="es-419"/>
              </w:rPr>
            </w:pPr>
            <w:r>
              <w:rPr>
                <w:rFonts w:cs="Calibri"/>
                <w:b/>
                <w:bCs/>
                <w:lang w:val="es-419"/>
              </w:rPr>
              <w:t>Módulo 6. Elementos transversales, articulación territorial y transferencia metodológica (30 min).</w:t>
            </w:r>
            <w:r>
              <w:rPr>
                <w:rFonts w:cs="Calibri"/>
                <w:lang w:val="es-419"/>
              </w:rPr>
              <w:t xml:space="preserve"> Género, inclusión, sostenibilidad, ética y orientaciones para la multiplicación territorial.</w:t>
            </w:r>
          </w:p>
        </w:tc>
      </w:tr>
      <w:tr>
        <w:tblPrEx/>
        <w:trPr/>
        <w:tc>
          <w:tcPr>
            <w:tcW w:w="1560" w:type="dxa"/>
            <w:tcBorders/>
            <w:hideMark/>
          </w:tcPr>
          <w:p>
            <w:pPr>
              <w:pStyle w:val="style0"/>
              <w:rPr>
                <w:rFonts w:ascii="Calibri" w:cs="Calibri" w:hAnsi="Calibri"/>
                <w:sz w:val="22"/>
                <w:lang w:val="en-US"/>
              </w:rPr>
            </w:pPr>
            <w:r>
              <w:rPr>
                <w:rFonts w:ascii="Calibri" w:cs="Calibri" w:hAnsi="Calibri"/>
                <w:b/>
                <w:bCs/>
                <w:sz w:val="22"/>
                <w:lang w:val="en-US"/>
              </w:rPr>
              <w:t>15:45 – 16:00</w:t>
            </w:r>
          </w:p>
        </w:tc>
        <w:tc>
          <w:tcPr>
            <w:tcW w:w="6944" w:type="dxa"/>
            <w:tcBorders/>
            <w:hideMark/>
          </w:tcPr>
          <w:p>
            <w:pPr>
              <w:pStyle w:val="style0"/>
              <w:rPr>
                <w:rFonts w:cs="Calibri"/>
                <w:lang w:val="es-419"/>
              </w:rPr>
            </w:pPr>
            <w:r>
              <w:rPr>
                <w:rFonts w:cs="Calibri"/>
                <w:b/>
                <w:bCs/>
                <w:lang w:val="es-419"/>
              </w:rPr>
              <w:t>Cierre y evaluación de la jornada.</w:t>
            </w:r>
            <w:r>
              <w:rPr>
                <w:rFonts w:cs="Calibri"/>
                <w:lang w:val="es-419"/>
              </w:rPr>
              <w:t xml:space="preserve"> Síntesis de aprendizajes, orientaciones para las actividades virtuales, compromisos y evaluación breve de satisfacción.</w:t>
            </w:r>
          </w:p>
        </w:tc>
      </w:tr>
    </w:tbl>
    <w:p>
      <w:pPr>
        <w:pStyle w:val="style0"/>
        <w:rPr>
          <w:lang w:val="es-419"/>
        </w:rPr>
      </w:pPr>
    </w:p>
    <w:p>
      <w:pPr>
        <w:pStyle w:val="style0"/>
        <w:rPr/>
      </w:pPr>
    </w:p>
    <w:sectPr>
      <w:pgSz w:w="11906" w:h="16838" w:orient="portrait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002030204"/>
    <w:charset w:val="00"/>
    <w:family w:val="swiss"/>
    <w:pitch w:val="variable"/>
    <w:sig w:usb0="00000287" w:usb1="00000800" w:usb2="00000000" w:usb3="00000000" w:csb0="0000009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B366844"/>
    <w:lvl w:ilvl="0" w:tplc="0C0A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90" w:hanging="360"/>
      </w:pPr>
      <w:rPr>
        <w:rFonts w:ascii="Courier New" w:cs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0" w:hanging="360"/>
      </w:pPr>
      <w:rPr>
        <w:rFonts w:ascii="Courier New" w:cs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0" w:hanging="360"/>
      </w:pPr>
      <w:rPr>
        <w:rFonts w:ascii="Courier New" w:cs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1DB2BB9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cs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cs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cs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55842B7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B6E980C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cs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cs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cs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lang w:val="es-E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spacing w:after="0"/>
      <w:ind w:left="720"/>
      <w:jc w:val="both"/>
      <w:contextualSpacing/>
    </w:pPr>
    <w:rPr>
      <w:rFonts w:ascii="Arial Narrow" w:cs="Arial Narrow" w:eastAsia="Arial Narrow" w:hAnsi="Arial Narrow"/>
      <w:sz w:val="21"/>
      <w:szCs w:val="21"/>
      <w:lang w:eastAsia="es-EC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customStyle="1" w:styleId="style4097">
    <w:name w:val="Plain Table 3"/>
    <w:basedOn w:val="style105"/>
    <w:next w:val="style4097"/>
    <w:uiPriority w:val="43"/>
    <w:pPr>
      <w:spacing w:after="0" w:lineRule="auto" w:line="240"/>
    </w:pPr>
    <w:rPr/>
    <w:tblPr>
      <w:tblStyleRowBandSize w:val="1"/>
      <w:tblStyleColBandSize w:val="1"/>
    </w:tblPr>
    <w:tblStylePr w:type="firstRow">
      <w:pPr/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pPr/>
      <w:rPr>
        <w:b/>
        <w:bCs/>
        <w:caps/>
      </w:rPr>
      <w:tblPr/>
      <w:tcPr>
        <w:tcBorders>
          <w:top w:val="nil"/>
        </w:tcBorders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pPr/>
      <w:rPr>
        <w:b/>
        <w:bCs/>
        <w:caps/>
      </w:rPr>
      <w:tblPr/>
      <w:tcPr>
        <w:tcBorders>
          <w:left w:val="nil"/>
        </w:tcBorders>
      </w:tcPr>
    </w:tblStylePr>
    <w:tblStylePr w:type="band1Vert">
      <w:pPr/>
      <w:tblPr/>
      <w:tcPr>
        <w:tcBorders/>
        <w:shd w:val="clear" w:color="auto" w:fill="f2f2f2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cPr>
      <w:tcBorders/>
    </w:tcPr>
  </w:style>
  <w:style w:type="table" w:customStyle="1" w:styleId="style4098">
    <w:name w:val="Plain Table 5"/>
    <w:basedOn w:val="style105"/>
    <w:next w:val="style4098"/>
    <w:uiPriority w:val="45"/>
    <w:pPr>
      <w:spacing w:after="0" w:lineRule="auto" w:line="240"/>
    </w:pPr>
    <w:rPr/>
    <w:tblPr>
      <w:tblStyleRowBandSize w:val="1"/>
      <w:tblStyleColBandSize w:val="1"/>
    </w:tblPr>
    <w:tblStylePr w:type="firstRow">
      <w:pPr/>
      <w:rPr>
        <w:rFonts w:ascii="Calibri Light" w:cs="宋体" w:eastAsia="宋体" w:hAnsi="Calibri Light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pPr/>
      <w:rPr>
        <w:rFonts w:ascii="Calibri Light" w:cs="宋体" w:eastAsia="宋体" w:hAnsi="Calibri Light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>
        <w:jc w:val="right"/>
      </w:pPr>
      <w:rPr>
        <w:rFonts w:ascii="Calibri Light" w:cs="宋体" w:eastAsia="宋体" w:hAnsi="Calibri Light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pPr/>
      <w:rPr>
        <w:rFonts w:ascii="Calibri Light" w:cs="宋体" w:eastAsia="宋体" w:hAnsi="Calibri Light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f2f2f2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left w:val="nil"/>
        </w:tcBorders>
      </w:tcPr>
    </w:tblStylePr>
    <w:tblStylePr w:type="swCell">
      <w:pPr/>
      <w:tblPr/>
      <w:tcPr>
        <w:tcBorders>
          <w:right w:val="nil"/>
        </w:tcBorders>
      </w:tcPr>
    </w:tblStyle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D71CF-5062-42C4-A00D-523DFF4E3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352</Words>
  <Pages>2</Pages>
  <Characters>2168</Characters>
  <Application>WPS Office</Application>
  <DocSecurity>0</DocSecurity>
  <Paragraphs>48</Paragraphs>
  <ScaleCrop>false</ScaleCrop>
  <LinksUpToDate>false</LinksUpToDate>
  <CharactersWithSpaces>2490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2026-08-25T03:00:09Z</dcterms:created>
  <dc:creator>Dirección de Ciencia</dc:creator>
  <lastModifiedBy>new</lastModifiedBy>
  <dcterms:modified xsi:type="dcterms:W3CDTF">2026-08-25T03:00:09Z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dcd66c27addc48b1828fa3758f2f95c6_23</vt:lpwstr>
  </property>
</Properties>
</file>