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D491" w14:textId="77777777" w:rsidR="003D1CC8" w:rsidRDefault="003D1CC8" w:rsidP="003D1CC8">
      <w:pPr>
        <w:pStyle w:val="Sinespaciado"/>
        <w:rPr>
          <w:lang w:val="es-419"/>
        </w:rPr>
      </w:pPr>
    </w:p>
    <w:p w14:paraId="09386728" w14:textId="696A88A5" w:rsidR="00660760" w:rsidRPr="00660760" w:rsidRDefault="00660760" w:rsidP="00660760">
      <w:pPr>
        <w:pStyle w:val="Sinespaciado"/>
        <w:jc w:val="center"/>
        <w:rPr>
          <w:b/>
          <w:bCs/>
          <w:sz w:val="24"/>
          <w:szCs w:val="24"/>
          <w:lang w:val="es-419"/>
        </w:rPr>
      </w:pPr>
      <w:r w:rsidRPr="00660760">
        <w:rPr>
          <w:b/>
          <w:bCs/>
          <w:sz w:val="24"/>
          <w:szCs w:val="24"/>
          <w:lang w:val="es-419"/>
        </w:rPr>
        <w:t>Clave comentada</w:t>
      </w:r>
    </w:p>
    <w:p w14:paraId="169CF057" w14:textId="08BB0195" w:rsidR="00660760" w:rsidRPr="00660760" w:rsidRDefault="00660760" w:rsidP="00660760">
      <w:pPr>
        <w:pStyle w:val="Ttulo1"/>
        <w:rPr>
          <w:lang w:val="es-419"/>
        </w:rPr>
      </w:pPr>
      <w:r w:rsidRPr="00660760">
        <w:rPr>
          <w:lang w:val="es-419"/>
        </w:rPr>
        <w:t>Evaluación diagnóstica</w:t>
      </w:r>
    </w:p>
    <w:p w14:paraId="5D6162E2" w14:textId="1DBCFA92" w:rsidR="00660760" w:rsidRDefault="00660760" w:rsidP="00660760">
      <w:pPr>
        <w:pStyle w:val="Sinespaciado"/>
        <w:rPr>
          <w:lang w:val="es-419"/>
        </w:rPr>
      </w:pPr>
      <w:r w:rsidRPr="00660760">
        <w:rPr>
          <w:lang w:val="es-419"/>
        </w:rPr>
        <w:t>Uso exclusivo del equipo facilitador. La explicación resume el criterio técnico que sustenta la respuesta correcta.</w:t>
      </w:r>
    </w:p>
    <w:p w14:paraId="7F60A7AE" w14:textId="77777777" w:rsidR="00660760" w:rsidRDefault="00660760" w:rsidP="00660760">
      <w:pPr>
        <w:pStyle w:val="Sinespaciado"/>
        <w:rPr>
          <w:lang w:val="es-419"/>
        </w:rPr>
      </w:pPr>
    </w:p>
    <w:tbl>
      <w:tblPr>
        <w:tblStyle w:val="Tablaconcuadrcula"/>
        <w:tblW w:w="8363" w:type="dxa"/>
        <w:jc w:val="center"/>
        <w:tblLayout w:type="fixed"/>
        <w:tblLook w:val="04A0" w:firstRow="1" w:lastRow="0" w:firstColumn="1" w:lastColumn="0" w:noHBand="0" w:noVBand="1"/>
      </w:tblPr>
      <w:tblGrid>
        <w:gridCol w:w="730"/>
        <w:gridCol w:w="966"/>
        <w:gridCol w:w="762"/>
        <w:gridCol w:w="5905"/>
      </w:tblGrid>
      <w:tr w:rsidR="00660760" w:rsidRPr="00660760" w14:paraId="7F271FCB" w14:textId="77777777" w:rsidTr="00E9514D">
        <w:trPr>
          <w:tblHeader/>
          <w:jc w:val="center"/>
        </w:trPr>
        <w:tc>
          <w:tcPr>
            <w:tcW w:w="730" w:type="dxa"/>
            <w:shd w:val="clear" w:color="auto" w:fill="D9EAF7"/>
            <w:vAlign w:val="center"/>
          </w:tcPr>
          <w:p w14:paraId="22ECA6E8" w14:textId="77777777" w:rsidR="00660760" w:rsidRPr="00660760" w:rsidRDefault="00660760" w:rsidP="00660760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660760">
              <w:rPr>
                <w:rFonts w:asciiTheme="minorHAnsi" w:hAnsiTheme="minorHAnsi" w:cstheme="minorHAnsi"/>
                <w:b/>
              </w:rPr>
              <w:t>N.º</w:t>
            </w:r>
            <w:proofErr w:type="gramEnd"/>
          </w:p>
        </w:tc>
        <w:tc>
          <w:tcPr>
            <w:tcW w:w="966" w:type="dxa"/>
            <w:shd w:val="clear" w:color="auto" w:fill="D9EAF7"/>
            <w:vAlign w:val="center"/>
          </w:tcPr>
          <w:p w14:paraId="6BCBDAF6" w14:textId="77777777" w:rsidR="00660760" w:rsidRPr="00660760" w:rsidRDefault="00660760" w:rsidP="0066076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660760">
              <w:rPr>
                <w:rFonts w:asciiTheme="minorHAnsi" w:hAnsiTheme="minorHAnsi" w:cstheme="minorHAnsi"/>
                <w:b/>
              </w:rPr>
              <w:t>Módulo</w:t>
            </w:r>
            <w:proofErr w:type="spellEnd"/>
          </w:p>
        </w:tc>
        <w:tc>
          <w:tcPr>
            <w:tcW w:w="762" w:type="dxa"/>
            <w:shd w:val="clear" w:color="auto" w:fill="D9EAF7"/>
            <w:vAlign w:val="center"/>
          </w:tcPr>
          <w:p w14:paraId="069BFC0E" w14:textId="77777777" w:rsidR="00660760" w:rsidRPr="00660760" w:rsidRDefault="00660760" w:rsidP="00660760">
            <w:pPr>
              <w:jc w:val="center"/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  <w:b/>
              </w:rPr>
              <w:t>Clave</w:t>
            </w:r>
          </w:p>
        </w:tc>
        <w:tc>
          <w:tcPr>
            <w:tcW w:w="5905" w:type="dxa"/>
            <w:shd w:val="clear" w:color="auto" w:fill="D9EAF7"/>
            <w:vAlign w:val="center"/>
          </w:tcPr>
          <w:p w14:paraId="29215784" w14:textId="77777777" w:rsidR="00660760" w:rsidRPr="00660760" w:rsidRDefault="00660760" w:rsidP="0066076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660760">
              <w:rPr>
                <w:rFonts w:asciiTheme="minorHAnsi" w:hAnsiTheme="minorHAnsi" w:cstheme="minorHAnsi"/>
                <w:b/>
              </w:rPr>
              <w:t>Explicación</w:t>
            </w:r>
            <w:proofErr w:type="spellEnd"/>
          </w:p>
        </w:tc>
      </w:tr>
      <w:tr w:rsidR="00660760" w:rsidRPr="00660760" w14:paraId="53037C59" w14:textId="77777777" w:rsidTr="00E9514D">
        <w:trPr>
          <w:jc w:val="center"/>
        </w:trPr>
        <w:tc>
          <w:tcPr>
            <w:tcW w:w="730" w:type="dxa"/>
          </w:tcPr>
          <w:p w14:paraId="1AFB9B7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6" w:type="dxa"/>
          </w:tcPr>
          <w:p w14:paraId="418813A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62" w:type="dxa"/>
          </w:tcPr>
          <w:p w14:paraId="1C66A4F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28D37385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Primero debe verificarse la naturaleza de la brecha. El programa distingue las necesidades formativas de los problemas empresariales que pueden requerir mentoría, asesoría, asistencia técnica o derivación.</w:t>
            </w:r>
          </w:p>
        </w:tc>
      </w:tr>
      <w:tr w:rsidR="00660760" w:rsidRPr="00660760" w14:paraId="4DB54385" w14:textId="77777777" w:rsidTr="00E9514D">
        <w:trPr>
          <w:jc w:val="center"/>
        </w:trPr>
        <w:tc>
          <w:tcPr>
            <w:tcW w:w="730" w:type="dxa"/>
          </w:tcPr>
          <w:p w14:paraId="47C643A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66" w:type="dxa"/>
          </w:tcPr>
          <w:p w14:paraId="1C1EA8B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62" w:type="dxa"/>
          </w:tcPr>
          <w:p w14:paraId="5F3BA47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0E221CBD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Describe una actuación observable, medible y verificable, además de especificar el producto esperado y el uso de evidencias.</w:t>
            </w:r>
          </w:p>
        </w:tc>
      </w:tr>
      <w:tr w:rsidR="00660760" w:rsidRPr="00660760" w14:paraId="7263B5B3" w14:textId="77777777" w:rsidTr="00E9514D">
        <w:trPr>
          <w:jc w:val="center"/>
        </w:trPr>
        <w:tc>
          <w:tcPr>
            <w:tcW w:w="730" w:type="dxa"/>
          </w:tcPr>
          <w:p w14:paraId="3DEC1C6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66" w:type="dxa"/>
          </w:tcPr>
          <w:p w14:paraId="2609B7F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62" w:type="dxa"/>
          </w:tcPr>
          <w:p w14:paraId="5DE43D5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8117FE2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formación de personas adultas reconoce la experiencia previa como un recurso central y favorece la aplicabilidad inmediata mediante problemas reales y metodologías activas.</w:t>
            </w:r>
          </w:p>
        </w:tc>
      </w:tr>
      <w:tr w:rsidR="00660760" w:rsidRPr="00660760" w14:paraId="7C6F77B5" w14:textId="77777777" w:rsidTr="00E9514D">
        <w:trPr>
          <w:jc w:val="center"/>
        </w:trPr>
        <w:tc>
          <w:tcPr>
            <w:tcW w:w="730" w:type="dxa"/>
          </w:tcPr>
          <w:p w14:paraId="763E817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66" w:type="dxa"/>
          </w:tcPr>
          <w:p w14:paraId="56FACD8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62" w:type="dxa"/>
          </w:tcPr>
          <w:p w14:paraId="6EAAF57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5905" w:type="dxa"/>
          </w:tcPr>
          <w:p w14:paraId="2F982FD3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participación por sí sola no garantiza aprendizaje. Las actividades deben estar alineadas con el resultado esperado, la evidencia y el criterio de evaluación.</w:t>
            </w:r>
          </w:p>
        </w:tc>
      </w:tr>
      <w:tr w:rsidR="00660760" w:rsidRPr="00660760" w14:paraId="25D841C3" w14:textId="77777777" w:rsidTr="00E9514D">
        <w:trPr>
          <w:jc w:val="center"/>
        </w:trPr>
        <w:tc>
          <w:tcPr>
            <w:tcW w:w="730" w:type="dxa"/>
          </w:tcPr>
          <w:p w14:paraId="5B50549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6" w:type="dxa"/>
          </w:tcPr>
          <w:p w14:paraId="33C9E5D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62" w:type="dxa"/>
          </w:tcPr>
          <w:p w14:paraId="63826F4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DF39CEF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adaptación puede modificar el medio o recurso, pero debe preservar la competencia, el resultado de aprendizaje y la evidencia esperada.</w:t>
            </w:r>
          </w:p>
        </w:tc>
      </w:tr>
      <w:tr w:rsidR="00660760" w:rsidRPr="00660760" w14:paraId="4CEEF145" w14:textId="77777777" w:rsidTr="00E9514D">
        <w:trPr>
          <w:jc w:val="center"/>
        </w:trPr>
        <w:tc>
          <w:tcPr>
            <w:tcW w:w="730" w:type="dxa"/>
          </w:tcPr>
          <w:p w14:paraId="745F8D8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66" w:type="dxa"/>
          </w:tcPr>
          <w:p w14:paraId="10C4B2D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62" w:type="dxa"/>
          </w:tcPr>
          <w:p w14:paraId="650E547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71CC7D47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disminución de ventas es un dato o síntoma observable. Antes de proponer soluciones debe analizarse qué problema expresa y cuáles son sus causas.</w:t>
            </w:r>
          </w:p>
        </w:tc>
      </w:tr>
      <w:tr w:rsidR="00660760" w:rsidRPr="00660760" w14:paraId="1B5C6538" w14:textId="77777777" w:rsidTr="00E9514D">
        <w:trPr>
          <w:jc w:val="center"/>
        </w:trPr>
        <w:tc>
          <w:tcPr>
            <w:tcW w:w="730" w:type="dxa"/>
          </w:tcPr>
          <w:p w14:paraId="05AAD43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966" w:type="dxa"/>
          </w:tcPr>
          <w:p w14:paraId="059CD86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62" w:type="dxa"/>
          </w:tcPr>
          <w:p w14:paraId="6D27337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3ED8D8F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triangulación contrasta distintas fuentes y reduce el riesgo de concluir a partir de una sola percepción o de información incompleta.</w:t>
            </w:r>
          </w:p>
        </w:tc>
      </w:tr>
      <w:tr w:rsidR="00660760" w:rsidRPr="00660760" w14:paraId="60DF5A71" w14:textId="77777777" w:rsidTr="00E9514D">
        <w:trPr>
          <w:jc w:val="center"/>
        </w:trPr>
        <w:tc>
          <w:tcPr>
            <w:tcW w:w="730" w:type="dxa"/>
          </w:tcPr>
          <w:p w14:paraId="42A3C6A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966" w:type="dxa"/>
          </w:tcPr>
          <w:p w14:paraId="200895B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62" w:type="dxa"/>
          </w:tcPr>
          <w:p w14:paraId="046444E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5B521D3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dependencia de un proveedor crítico puede explicar el problema operativo y debe analizarse como una causa potencial, mientras los atrasos e insatisfacción son efectos o síntomas.</w:t>
            </w:r>
          </w:p>
        </w:tc>
      </w:tr>
      <w:tr w:rsidR="00660760" w:rsidRPr="00660760" w14:paraId="67F6C94C" w14:textId="77777777" w:rsidTr="00E9514D">
        <w:trPr>
          <w:jc w:val="center"/>
        </w:trPr>
        <w:tc>
          <w:tcPr>
            <w:tcW w:w="730" w:type="dxa"/>
          </w:tcPr>
          <w:p w14:paraId="739D832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lastRenderedPageBreak/>
              <w:t>9</w:t>
            </w:r>
          </w:p>
        </w:tc>
        <w:tc>
          <w:tcPr>
            <w:tcW w:w="966" w:type="dxa"/>
          </w:tcPr>
          <w:p w14:paraId="7CBC804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62" w:type="dxa"/>
          </w:tcPr>
          <w:p w14:paraId="6691DDD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04F9387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programa propone una priorización sustentada en criterios explícitos que permita concentrar el acompañamiento en problemas relevantes y viables de intervenir.</w:t>
            </w:r>
          </w:p>
        </w:tc>
      </w:tr>
      <w:tr w:rsidR="00660760" w:rsidRPr="00660760" w14:paraId="3F051EAB" w14:textId="77777777" w:rsidTr="00E9514D">
        <w:trPr>
          <w:jc w:val="center"/>
        </w:trPr>
        <w:tc>
          <w:tcPr>
            <w:tcW w:w="730" w:type="dxa"/>
          </w:tcPr>
          <w:p w14:paraId="019553B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66" w:type="dxa"/>
          </w:tcPr>
          <w:p w14:paraId="58B829B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62" w:type="dxa"/>
          </w:tcPr>
          <w:p w14:paraId="2C24C30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195A79F3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Reconocer los límites profesionales y derivar a especialistas evita intervenciones improcedentes y protege la calidad y ética del acompañamiento.</w:t>
            </w:r>
          </w:p>
        </w:tc>
      </w:tr>
      <w:tr w:rsidR="00660760" w:rsidRPr="00660760" w14:paraId="26859BCE" w14:textId="77777777" w:rsidTr="00E9514D">
        <w:trPr>
          <w:jc w:val="center"/>
        </w:trPr>
        <w:tc>
          <w:tcPr>
            <w:tcW w:w="730" w:type="dxa"/>
          </w:tcPr>
          <w:p w14:paraId="4276533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966" w:type="dxa"/>
          </w:tcPr>
          <w:p w14:paraId="5063880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62" w:type="dxa"/>
          </w:tcPr>
          <w:p w14:paraId="1566319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5905" w:type="dxa"/>
          </w:tcPr>
          <w:p w14:paraId="0C8A08F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trazabilidad es un criterio central: cada acción del plan debe responder a una causa y prioridad identificadas en el diagnóstico.</w:t>
            </w:r>
          </w:p>
        </w:tc>
      </w:tr>
      <w:tr w:rsidR="00660760" w:rsidRPr="00660760" w14:paraId="674AC0BC" w14:textId="77777777" w:rsidTr="00E9514D">
        <w:trPr>
          <w:jc w:val="center"/>
        </w:trPr>
        <w:tc>
          <w:tcPr>
            <w:tcW w:w="730" w:type="dxa"/>
          </w:tcPr>
          <w:p w14:paraId="6EB705A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966" w:type="dxa"/>
          </w:tcPr>
          <w:p w14:paraId="7E60AD0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62" w:type="dxa"/>
          </w:tcPr>
          <w:p w14:paraId="5DDA21B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144CF474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acción es específica, tiene plazo, responsable y un resultado verificable, por lo que puede ser seguida y evaluada.</w:t>
            </w:r>
          </w:p>
        </w:tc>
      </w:tr>
      <w:tr w:rsidR="00660760" w:rsidRPr="00660760" w14:paraId="0330A865" w14:textId="77777777" w:rsidTr="00E9514D">
        <w:trPr>
          <w:jc w:val="center"/>
        </w:trPr>
        <w:tc>
          <w:tcPr>
            <w:tcW w:w="730" w:type="dxa"/>
          </w:tcPr>
          <w:p w14:paraId="39D0C7C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966" w:type="dxa"/>
          </w:tcPr>
          <w:p w14:paraId="198D3B8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62" w:type="dxa"/>
          </w:tcPr>
          <w:p w14:paraId="5A320EF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4D7456B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indicador debe aportar una señal observable o medible del avance y estar vinculado con el objetivo del plan.</w:t>
            </w:r>
          </w:p>
        </w:tc>
      </w:tr>
      <w:tr w:rsidR="00660760" w:rsidRPr="00660760" w14:paraId="1AC96AA9" w14:textId="77777777" w:rsidTr="00E9514D">
        <w:trPr>
          <w:jc w:val="center"/>
        </w:trPr>
        <w:tc>
          <w:tcPr>
            <w:tcW w:w="730" w:type="dxa"/>
          </w:tcPr>
          <w:p w14:paraId="7CB8D75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966" w:type="dxa"/>
          </w:tcPr>
          <w:p w14:paraId="5A2A551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62" w:type="dxa"/>
          </w:tcPr>
          <w:p w14:paraId="250E2E9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2C1E2049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matriz ayuda a ordenar acciones según su potencial de mejora y el esfuerzo o recursos requeridos, sin sustituir el diagnóstico causal.</w:t>
            </w:r>
          </w:p>
        </w:tc>
      </w:tr>
      <w:tr w:rsidR="00660760" w:rsidRPr="00660760" w14:paraId="5C1007CD" w14:textId="77777777" w:rsidTr="00E9514D">
        <w:trPr>
          <w:jc w:val="center"/>
        </w:trPr>
        <w:tc>
          <w:tcPr>
            <w:tcW w:w="730" w:type="dxa"/>
          </w:tcPr>
          <w:p w14:paraId="3C0D9C9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966" w:type="dxa"/>
          </w:tcPr>
          <w:p w14:paraId="713CA2A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62" w:type="dxa"/>
          </w:tcPr>
          <w:p w14:paraId="3E39703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3C928549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viabilidad exige revisar tanto capacidades internas como restricciones, recursos, riesgos, responsables y apoyos necesarios para ejecutar y sostener las acciones.</w:t>
            </w:r>
          </w:p>
        </w:tc>
      </w:tr>
      <w:tr w:rsidR="00660760" w:rsidRPr="00660760" w14:paraId="10A2A299" w14:textId="77777777" w:rsidTr="00E9514D">
        <w:trPr>
          <w:jc w:val="center"/>
        </w:trPr>
        <w:tc>
          <w:tcPr>
            <w:tcW w:w="730" w:type="dxa"/>
          </w:tcPr>
          <w:p w14:paraId="6E082BD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966" w:type="dxa"/>
          </w:tcPr>
          <w:p w14:paraId="4A86FEA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62" w:type="dxa"/>
          </w:tcPr>
          <w:p w14:paraId="37E3DF7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3C01158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mentoría centrada en la persona fortalece autonomía y toma de decisiones; la persona mentora facilita análisis y alternativas, no sustituye la decisión del NAE.</w:t>
            </w:r>
          </w:p>
        </w:tc>
      </w:tr>
      <w:tr w:rsidR="00660760" w:rsidRPr="00660760" w14:paraId="747D18F7" w14:textId="77777777" w:rsidTr="00E9514D">
        <w:trPr>
          <w:jc w:val="center"/>
        </w:trPr>
        <w:tc>
          <w:tcPr>
            <w:tcW w:w="730" w:type="dxa"/>
          </w:tcPr>
          <w:p w14:paraId="4A448BE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966" w:type="dxa"/>
          </w:tcPr>
          <w:p w14:paraId="42B8830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62" w:type="dxa"/>
          </w:tcPr>
          <w:p w14:paraId="3B87500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5116D884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Es una pregunta abierta que promueve reflexión, comparación de alternativas y toma de decisiones propia.</w:t>
            </w:r>
          </w:p>
        </w:tc>
      </w:tr>
      <w:tr w:rsidR="00660760" w:rsidRPr="00660760" w14:paraId="7C45C435" w14:textId="77777777" w:rsidTr="00E9514D">
        <w:trPr>
          <w:jc w:val="center"/>
        </w:trPr>
        <w:tc>
          <w:tcPr>
            <w:tcW w:w="730" w:type="dxa"/>
          </w:tcPr>
          <w:p w14:paraId="7E33B3D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966" w:type="dxa"/>
          </w:tcPr>
          <w:p w14:paraId="20871F8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62" w:type="dxa"/>
          </w:tcPr>
          <w:p w14:paraId="7AD1C24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5C171321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Un compromiso verificable debe dejar claro qué se hará, quién lo hará, cuándo y con qué evidencia se comprobará.</w:t>
            </w:r>
          </w:p>
        </w:tc>
      </w:tr>
      <w:tr w:rsidR="00660760" w:rsidRPr="00660760" w14:paraId="1C9375F9" w14:textId="77777777" w:rsidTr="00E9514D">
        <w:trPr>
          <w:jc w:val="center"/>
        </w:trPr>
        <w:tc>
          <w:tcPr>
            <w:tcW w:w="730" w:type="dxa"/>
          </w:tcPr>
          <w:p w14:paraId="1B8522B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966" w:type="dxa"/>
          </w:tcPr>
          <w:p w14:paraId="5D90701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62" w:type="dxa"/>
          </w:tcPr>
          <w:p w14:paraId="0929C88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22FE9B2B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bitácora funciona como memoria técnica del proceso y permite dar trazabilidad a decisiones, avances, obstáculos y próximos pasos.</w:t>
            </w:r>
          </w:p>
        </w:tc>
      </w:tr>
      <w:tr w:rsidR="00660760" w:rsidRPr="00660760" w14:paraId="6F1B6BD0" w14:textId="77777777" w:rsidTr="00E9514D">
        <w:trPr>
          <w:jc w:val="center"/>
        </w:trPr>
        <w:tc>
          <w:tcPr>
            <w:tcW w:w="730" w:type="dxa"/>
          </w:tcPr>
          <w:p w14:paraId="6021918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lastRenderedPageBreak/>
              <w:t>20</w:t>
            </w:r>
          </w:p>
        </w:tc>
        <w:tc>
          <w:tcPr>
            <w:tcW w:w="966" w:type="dxa"/>
          </w:tcPr>
          <w:p w14:paraId="02D880C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62" w:type="dxa"/>
          </w:tcPr>
          <w:p w14:paraId="46D0DD2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55C12E5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actuación profesional exige reconocer el alcance del rol y conectar al NAE con apoyo especializado cuando el caso lo requiere.</w:t>
            </w:r>
          </w:p>
        </w:tc>
      </w:tr>
      <w:tr w:rsidR="00660760" w:rsidRPr="00660760" w14:paraId="041BE1BA" w14:textId="77777777" w:rsidTr="00E9514D">
        <w:trPr>
          <w:jc w:val="center"/>
        </w:trPr>
        <w:tc>
          <w:tcPr>
            <w:tcW w:w="730" w:type="dxa"/>
          </w:tcPr>
          <w:p w14:paraId="0A03EAD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966" w:type="dxa"/>
          </w:tcPr>
          <w:p w14:paraId="53554A0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62" w:type="dxa"/>
          </w:tcPr>
          <w:p w14:paraId="0A065F3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317F84F1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Describe un cambio observable en el desempeño empresarial, no simplemente una actividad realizada o un producto entregado.</w:t>
            </w:r>
          </w:p>
        </w:tc>
      </w:tr>
      <w:tr w:rsidR="00660760" w:rsidRPr="00660760" w14:paraId="128299A8" w14:textId="77777777" w:rsidTr="00E9514D">
        <w:trPr>
          <w:jc w:val="center"/>
        </w:trPr>
        <w:tc>
          <w:tcPr>
            <w:tcW w:w="730" w:type="dxa"/>
          </w:tcPr>
          <w:p w14:paraId="3CAF5DA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22</w:t>
            </w:r>
          </w:p>
        </w:tc>
        <w:tc>
          <w:tcPr>
            <w:tcW w:w="966" w:type="dxa"/>
          </w:tcPr>
          <w:p w14:paraId="2EA9D67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62" w:type="dxa"/>
          </w:tcPr>
          <w:p w14:paraId="44968A6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5905" w:type="dxa"/>
          </w:tcPr>
          <w:p w14:paraId="5E4830BD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línea de base establece el punto de partida contra el cual se comparan los avances y resultados posteriores.</w:t>
            </w:r>
          </w:p>
        </w:tc>
      </w:tr>
      <w:tr w:rsidR="00660760" w:rsidRPr="00660760" w14:paraId="0B06E910" w14:textId="77777777" w:rsidTr="00E9514D">
        <w:trPr>
          <w:jc w:val="center"/>
        </w:trPr>
        <w:tc>
          <w:tcPr>
            <w:tcW w:w="730" w:type="dxa"/>
          </w:tcPr>
          <w:p w14:paraId="374D711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966" w:type="dxa"/>
          </w:tcPr>
          <w:p w14:paraId="30F8358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62" w:type="dxa"/>
          </w:tcPr>
          <w:p w14:paraId="3D2A626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E0D9B2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Es la fuente concreta que permite comprobar el valor o cumplimiento de un indicador, como registros, documentos, observaciones o reportes.</w:t>
            </w:r>
          </w:p>
        </w:tc>
      </w:tr>
      <w:tr w:rsidR="00660760" w:rsidRPr="00660760" w14:paraId="0923C51B" w14:textId="77777777" w:rsidTr="00E9514D">
        <w:trPr>
          <w:jc w:val="center"/>
        </w:trPr>
        <w:tc>
          <w:tcPr>
            <w:tcW w:w="730" w:type="dxa"/>
          </w:tcPr>
          <w:p w14:paraId="2327CAE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966" w:type="dxa"/>
          </w:tcPr>
          <w:p w14:paraId="489ED8D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62" w:type="dxa"/>
          </w:tcPr>
          <w:p w14:paraId="10F1149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0BB0651D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evaluación distingue ejecución de resultados; si la acción no produce el cambio esperado, se deben analizar causas y ajustar el acompañamiento.</w:t>
            </w:r>
          </w:p>
        </w:tc>
      </w:tr>
      <w:tr w:rsidR="00660760" w:rsidRPr="00660760" w14:paraId="586E5EAD" w14:textId="77777777" w:rsidTr="00E9514D">
        <w:trPr>
          <w:jc w:val="center"/>
        </w:trPr>
        <w:tc>
          <w:tcPr>
            <w:tcW w:w="730" w:type="dxa"/>
          </w:tcPr>
          <w:p w14:paraId="3C4D5FC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966" w:type="dxa"/>
          </w:tcPr>
          <w:p w14:paraId="7F60D76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62" w:type="dxa"/>
          </w:tcPr>
          <w:p w14:paraId="41351A8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2D48AF0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satisfacción aporta información sobre percepción y utilidad, pero debe combinarse con evidencias de aprendizaje, aplicación y resultados.</w:t>
            </w:r>
          </w:p>
        </w:tc>
      </w:tr>
      <w:tr w:rsidR="00660760" w:rsidRPr="00660760" w14:paraId="712736BA" w14:textId="77777777" w:rsidTr="00E9514D">
        <w:trPr>
          <w:jc w:val="center"/>
        </w:trPr>
        <w:tc>
          <w:tcPr>
            <w:tcW w:w="730" w:type="dxa"/>
          </w:tcPr>
          <w:p w14:paraId="1D32FE3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966" w:type="dxa"/>
          </w:tcPr>
          <w:p w14:paraId="484F8F5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62" w:type="dxa"/>
          </w:tcPr>
          <w:p w14:paraId="2F3B1D7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09E6AA7D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enfoque de género es transversal: debe influir en las decisiones, herramientas, indicadores y condiciones de participación a lo largo del ciclo.</w:t>
            </w:r>
          </w:p>
        </w:tc>
      </w:tr>
      <w:tr w:rsidR="00660760" w:rsidRPr="00660760" w14:paraId="52FD4DDC" w14:textId="77777777" w:rsidTr="00E9514D">
        <w:trPr>
          <w:jc w:val="center"/>
        </w:trPr>
        <w:tc>
          <w:tcPr>
            <w:tcW w:w="730" w:type="dxa"/>
          </w:tcPr>
          <w:p w14:paraId="086B7C0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966" w:type="dxa"/>
          </w:tcPr>
          <w:p w14:paraId="1E82C99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62" w:type="dxa"/>
          </w:tcPr>
          <w:p w14:paraId="1A7BF7D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05" w:type="dxa"/>
          </w:tcPr>
          <w:p w14:paraId="20E02BC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programa permite contextualizar ejemplos, casos, recursos, lenguaje y dinámicas, mientras las competencias y principios esenciales deben preservarse.</w:t>
            </w:r>
          </w:p>
        </w:tc>
      </w:tr>
      <w:tr w:rsidR="00660760" w:rsidRPr="00660760" w14:paraId="368AEF6C" w14:textId="77777777" w:rsidTr="00E9514D">
        <w:trPr>
          <w:jc w:val="center"/>
        </w:trPr>
        <w:tc>
          <w:tcPr>
            <w:tcW w:w="730" w:type="dxa"/>
          </w:tcPr>
          <w:p w14:paraId="5AA0CA7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966" w:type="dxa"/>
          </w:tcPr>
          <w:p w14:paraId="6583ED0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62" w:type="dxa"/>
          </w:tcPr>
          <w:p w14:paraId="11290F6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6F414898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adaptación territorial debe asegurar continuidad mediante alternativas offline sin alterar la competencia, el resultado ni la evidencia esperada.</w:t>
            </w:r>
          </w:p>
        </w:tc>
      </w:tr>
      <w:tr w:rsidR="00660760" w:rsidRPr="00660760" w14:paraId="11DAA33B" w14:textId="77777777" w:rsidTr="00E9514D">
        <w:trPr>
          <w:jc w:val="center"/>
        </w:trPr>
        <w:tc>
          <w:tcPr>
            <w:tcW w:w="730" w:type="dxa"/>
          </w:tcPr>
          <w:p w14:paraId="0B0FD3F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966" w:type="dxa"/>
          </w:tcPr>
          <w:p w14:paraId="7944248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62" w:type="dxa"/>
          </w:tcPr>
          <w:p w14:paraId="463AB29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54E28A25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confidencialidad exige proteger información sensible y utilizarla con consentimiento, límites claros y mecanismos de anonimización cuando corresponda.</w:t>
            </w:r>
          </w:p>
        </w:tc>
      </w:tr>
      <w:tr w:rsidR="00660760" w:rsidRPr="00660760" w14:paraId="17F38EC4" w14:textId="77777777" w:rsidTr="00E9514D">
        <w:trPr>
          <w:jc w:val="center"/>
        </w:trPr>
        <w:tc>
          <w:tcPr>
            <w:tcW w:w="730" w:type="dxa"/>
          </w:tcPr>
          <w:p w14:paraId="0BB4D69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966" w:type="dxa"/>
          </w:tcPr>
          <w:p w14:paraId="339935A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62" w:type="dxa"/>
          </w:tcPr>
          <w:p w14:paraId="17AAFBA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05" w:type="dxa"/>
          </w:tcPr>
          <w:p w14:paraId="1584851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calidad de la réplica se sostiene mediante observación, retroalimentación, documentación y seguimiento, preservando la fidelidad metodológica.</w:t>
            </w:r>
          </w:p>
        </w:tc>
      </w:tr>
    </w:tbl>
    <w:p w14:paraId="0F102D19" w14:textId="154F2B8B" w:rsidR="00660760" w:rsidRPr="00660760" w:rsidRDefault="00660760" w:rsidP="00E9514D">
      <w:pPr>
        <w:pStyle w:val="Ttulo1"/>
        <w:rPr>
          <w:lang w:val="es-419"/>
        </w:rPr>
      </w:pPr>
      <w:r>
        <w:rPr>
          <w:lang w:val="es-419"/>
        </w:rPr>
        <w:br w:type="page"/>
      </w:r>
      <w:r w:rsidRPr="00660760">
        <w:rPr>
          <w:lang w:val="es-419"/>
        </w:rPr>
        <w:lastRenderedPageBreak/>
        <w:t>Evaluación teórica final</w:t>
      </w:r>
    </w:p>
    <w:p w14:paraId="384806C4" w14:textId="7A9ED585" w:rsidR="00660760" w:rsidRDefault="00660760" w:rsidP="00660760">
      <w:pPr>
        <w:pStyle w:val="Sinespaciado"/>
        <w:rPr>
          <w:lang w:val="es-419"/>
        </w:rPr>
      </w:pPr>
      <w:r w:rsidRPr="00660760">
        <w:rPr>
          <w:lang w:val="es-419"/>
        </w:rPr>
        <w:t>Uso exclusivo del equipo facilitador. La explicación resume el criterio técnico que sustenta la respuesta correcta.</w:t>
      </w:r>
    </w:p>
    <w:p w14:paraId="4E10F6AF" w14:textId="77777777" w:rsidR="00660760" w:rsidRDefault="00660760" w:rsidP="00660760">
      <w:pPr>
        <w:pStyle w:val="Sinespaciado"/>
        <w:rPr>
          <w:lang w:val="es-419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6"/>
        <w:gridCol w:w="976"/>
        <w:gridCol w:w="752"/>
        <w:gridCol w:w="5916"/>
      </w:tblGrid>
      <w:tr w:rsidR="00660760" w14:paraId="547799D4" w14:textId="77777777" w:rsidTr="00E9514D">
        <w:trPr>
          <w:tblHeader/>
          <w:jc w:val="center"/>
        </w:trPr>
        <w:tc>
          <w:tcPr>
            <w:tcW w:w="704" w:type="dxa"/>
            <w:shd w:val="clear" w:color="auto" w:fill="D9EAF7"/>
            <w:vAlign w:val="center"/>
          </w:tcPr>
          <w:p w14:paraId="1F0652D1" w14:textId="77777777" w:rsidR="00660760" w:rsidRPr="00660760" w:rsidRDefault="00660760" w:rsidP="00E9514D">
            <w:pPr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660760">
              <w:rPr>
                <w:rFonts w:asciiTheme="minorHAnsi" w:hAnsiTheme="minorHAnsi" w:cstheme="minorHAnsi"/>
                <w:b/>
              </w:rPr>
              <w:t>N.º</w:t>
            </w:r>
            <w:proofErr w:type="gramEnd"/>
          </w:p>
        </w:tc>
        <w:tc>
          <w:tcPr>
            <w:tcW w:w="992" w:type="dxa"/>
            <w:gridSpan w:val="2"/>
            <w:shd w:val="clear" w:color="auto" w:fill="D9EAF7"/>
            <w:vAlign w:val="center"/>
          </w:tcPr>
          <w:p w14:paraId="50A3F05F" w14:textId="77777777" w:rsidR="00660760" w:rsidRPr="00660760" w:rsidRDefault="00660760" w:rsidP="00E9514D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660760">
              <w:rPr>
                <w:rFonts w:asciiTheme="minorHAnsi" w:hAnsiTheme="minorHAnsi" w:cstheme="minorHAnsi"/>
                <w:b/>
              </w:rPr>
              <w:t>Módulo</w:t>
            </w:r>
            <w:proofErr w:type="spellEnd"/>
          </w:p>
        </w:tc>
        <w:tc>
          <w:tcPr>
            <w:tcW w:w="752" w:type="dxa"/>
            <w:shd w:val="clear" w:color="auto" w:fill="D9EAF7"/>
            <w:vAlign w:val="center"/>
          </w:tcPr>
          <w:p w14:paraId="3C493B30" w14:textId="77777777" w:rsidR="00660760" w:rsidRPr="00660760" w:rsidRDefault="00660760" w:rsidP="00E9514D">
            <w:pPr>
              <w:jc w:val="center"/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  <w:b/>
              </w:rPr>
              <w:t>Clave</w:t>
            </w:r>
          </w:p>
        </w:tc>
        <w:tc>
          <w:tcPr>
            <w:tcW w:w="5916" w:type="dxa"/>
            <w:shd w:val="clear" w:color="auto" w:fill="D9EAF7"/>
            <w:vAlign w:val="center"/>
          </w:tcPr>
          <w:p w14:paraId="60706FA3" w14:textId="77777777" w:rsidR="00660760" w:rsidRPr="00660760" w:rsidRDefault="00660760" w:rsidP="00E9514D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660760">
              <w:rPr>
                <w:rFonts w:asciiTheme="minorHAnsi" w:hAnsiTheme="minorHAnsi" w:cstheme="minorHAnsi"/>
                <w:b/>
              </w:rPr>
              <w:t>Explicación</w:t>
            </w:r>
            <w:proofErr w:type="spellEnd"/>
          </w:p>
        </w:tc>
      </w:tr>
      <w:tr w:rsidR="00660760" w:rsidRPr="00976711" w14:paraId="4F89133F" w14:textId="77777777" w:rsidTr="00E9514D">
        <w:trPr>
          <w:jc w:val="center"/>
        </w:trPr>
        <w:tc>
          <w:tcPr>
            <w:tcW w:w="720" w:type="dxa"/>
            <w:gridSpan w:val="2"/>
          </w:tcPr>
          <w:p w14:paraId="0B553D2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76" w:type="dxa"/>
          </w:tcPr>
          <w:p w14:paraId="60179A3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52" w:type="dxa"/>
          </w:tcPr>
          <w:p w14:paraId="04833D4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39D23005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necesidad identificada es una brecha de facilitación. La respuesta debe alinearse con esa competencia y priorizar práctica guiada, no repetir contenidos que el grupo ya domina.</w:t>
            </w:r>
          </w:p>
        </w:tc>
      </w:tr>
      <w:tr w:rsidR="00660760" w:rsidRPr="00976711" w14:paraId="0DA2B9A3" w14:textId="77777777" w:rsidTr="00E9514D">
        <w:trPr>
          <w:jc w:val="center"/>
        </w:trPr>
        <w:tc>
          <w:tcPr>
            <w:tcW w:w="720" w:type="dxa"/>
            <w:gridSpan w:val="2"/>
          </w:tcPr>
          <w:p w14:paraId="58B4332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76" w:type="dxa"/>
          </w:tcPr>
          <w:p w14:paraId="141B1BC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52" w:type="dxa"/>
          </w:tcPr>
          <w:p w14:paraId="6F05C5D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16" w:type="dxa"/>
          </w:tcPr>
          <w:p w14:paraId="4B83781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Expresa una actuación observable y verificable, vinculada con una evidencia concreta y con la mejora del desempeño.</w:t>
            </w:r>
          </w:p>
        </w:tc>
      </w:tr>
      <w:tr w:rsidR="00660760" w:rsidRPr="00976711" w14:paraId="45D57C83" w14:textId="77777777" w:rsidTr="00E9514D">
        <w:trPr>
          <w:jc w:val="center"/>
        </w:trPr>
        <w:tc>
          <w:tcPr>
            <w:tcW w:w="720" w:type="dxa"/>
            <w:gridSpan w:val="2"/>
          </w:tcPr>
          <w:p w14:paraId="36B86D4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76" w:type="dxa"/>
          </w:tcPr>
          <w:p w14:paraId="5C45B03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52" w:type="dxa"/>
          </w:tcPr>
          <w:p w14:paraId="7886CD6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682DFED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aprendizaje adulto se fortalece cuando parte de la experiencia, trabaja problemas relevantes y conecta reflexión, concepto y aplicación.</w:t>
            </w:r>
          </w:p>
        </w:tc>
      </w:tr>
      <w:tr w:rsidR="00660760" w:rsidRPr="00976711" w14:paraId="1D3720C4" w14:textId="77777777" w:rsidTr="00E9514D">
        <w:trPr>
          <w:jc w:val="center"/>
        </w:trPr>
        <w:tc>
          <w:tcPr>
            <w:tcW w:w="720" w:type="dxa"/>
            <w:gridSpan w:val="2"/>
          </w:tcPr>
          <w:p w14:paraId="2A16794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76" w:type="dxa"/>
          </w:tcPr>
          <w:p w14:paraId="3B37111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52" w:type="dxa"/>
          </w:tcPr>
          <w:p w14:paraId="4A96EAE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1ABE9A6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alineación exige correspondencia entre resultado, actividad, evidencia y criterio de evaluación.</w:t>
            </w:r>
          </w:p>
        </w:tc>
      </w:tr>
      <w:tr w:rsidR="00660760" w:rsidRPr="00976711" w14:paraId="047BCF8A" w14:textId="77777777" w:rsidTr="00E9514D">
        <w:trPr>
          <w:jc w:val="center"/>
        </w:trPr>
        <w:tc>
          <w:tcPr>
            <w:tcW w:w="720" w:type="dxa"/>
            <w:gridSpan w:val="2"/>
          </w:tcPr>
          <w:p w14:paraId="66F0B88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76" w:type="dxa"/>
          </w:tcPr>
          <w:p w14:paraId="3BE3C4C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52" w:type="dxa"/>
          </w:tcPr>
          <w:p w14:paraId="2C0190F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532318D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programa prioriza alternativas offline que preservan competencia, resultado y evidencia, aunque cambie el medio de realización.</w:t>
            </w:r>
          </w:p>
        </w:tc>
      </w:tr>
      <w:tr w:rsidR="00660760" w:rsidRPr="00976711" w14:paraId="36AF30B8" w14:textId="77777777" w:rsidTr="00E9514D">
        <w:trPr>
          <w:jc w:val="center"/>
        </w:trPr>
        <w:tc>
          <w:tcPr>
            <w:tcW w:w="720" w:type="dxa"/>
            <w:gridSpan w:val="2"/>
          </w:tcPr>
          <w:p w14:paraId="1CD58AC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76" w:type="dxa"/>
          </w:tcPr>
          <w:p w14:paraId="473A674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52" w:type="dxa"/>
          </w:tcPr>
          <w:p w14:paraId="269937A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5EF9F815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diagnóstico integral se construye triangulando evidencias y evitando soluciones prematuras o conclusiones basadas en una sola percepción.</w:t>
            </w:r>
          </w:p>
        </w:tc>
      </w:tr>
      <w:tr w:rsidR="00660760" w:rsidRPr="00976711" w14:paraId="296BB65A" w14:textId="77777777" w:rsidTr="00E9514D">
        <w:trPr>
          <w:jc w:val="center"/>
        </w:trPr>
        <w:tc>
          <w:tcPr>
            <w:tcW w:w="720" w:type="dxa"/>
            <w:gridSpan w:val="2"/>
          </w:tcPr>
          <w:p w14:paraId="79ECDCA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976" w:type="dxa"/>
          </w:tcPr>
          <w:p w14:paraId="0EDAF74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52" w:type="dxa"/>
          </w:tcPr>
          <w:p w14:paraId="014C056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5C7902C2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presentación establece esta secuencia para separar hechos, síntomas, problemas y causas antes de decidir el tipo de apoyo.</w:t>
            </w:r>
          </w:p>
        </w:tc>
      </w:tr>
      <w:tr w:rsidR="00660760" w:rsidRPr="00976711" w14:paraId="5BD30F6D" w14:textId="77777777" w:rsidTr="00E9514D">
        <w:trPr>
          <w:jc w:val="center"/>
        </w:trPr>
        <w:tc>
          <w:tcPr>
            <w:tcW w:w="720" w:type="dxa"/>
            <w:gridSpan w:val="2"/>
          </w:tcPr>
          <w:p w14:paraId="243F72E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976" w:type="dxa"/>
          </w:tcPr>
          <w:p w14:paraId="3127404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52" w:type="dxa"/>
          </w:tcPr>
          <w:p w14:paraId="49DA17D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4ED1A5D1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planificación reactiva y la dependencia de insumos explican el problema operativo; las reclamaciones son consecuencias o síntomas.</w:t>
            </w:r>
          </w:p>
        </w:tc>
      </w:tr>
      <w:tr w:rsidR="00660760" w:rsidRPr="00976711" w14:paraId="630B011C" w14:textId="77777777" w:rsidTr="00E9514D">
        <w:trPr>
          <w:jc w:val="center"/>
        </w:trPr>
        <w:tc>
          <w:tcPr>
            <w:tcW w:w="720" w:type="dxa"/>
            <w:gridSpan w:val="2"/>
          </w:tcPr>
          <w:p w14:paraId="4B03B3E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976" w:type="dxa"/>
          </w:tcPr>
          <w:p w14:paraId="6819363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52" w:type="dxa"/>
          </w:tcPr>
          <w:p w14:paraId="2A42275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46EBE708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priorización considera impacto, urgencia, capacidad de actuación, esfuerzo/recursos y viabilidad en el contexto real.</w:t>
            </w:r>
          </w:p>
        </w:tc>
      </w:tr>
      <w:tr w:rsidR="00660760" w:rsidRPr="00976711" w14:paraId="59344022" w14:textId="77777777" w:rsidTr="00E9514D">
        <w:trPr>
          <w:jc w:val="center"/>
        </w:trPr>
        <w:tc>
          <w:tcPr>
            <w:tcW w:w="720" w:type="dxa"/>
            <w:gridSpan w:val="2"/>
          </w:tcPr>
          <w:p w14:paraId="38367BE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76" w:type="dxa"/>
          </w:tcPr>
          <w:p w14:paraId="1D3BC92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52" w:type="dxa"/>
          </w:tcPr>
          <w:p w14:paraId="19A173A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5916" w:type="dxa"/>
          </w:tcPr>
          <w:p w14:paraId="61DF93C1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mentoría corresponde cuando se requiere reflexión, análisis de alternativas, compromiso y autonomía en la toma de decisiones.</w:t>
            </w:r>
          </w:p>
        </w:tc>
      </w:tr>
      <w:tr w:rsidR="00660760" w:rsidRPr="00976711" w14:paraId="2BC7AAF2" w14:textId="77777777" w:rsidTr="00E9514D">
        <w:trPr>
          <w:jc w:val="center"/>
        </w:trPr>
        <w:tc>
          <w:tcPr>
            <w:tcW w:w="720" w:type="dxa"/>
            <w:gridSpan w:val="2"/>
          </w:tcPr>
          <w:p w14:paraId="448D3D3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lastRenderedPageBreak/>
              <w:t>11</w:t>
            </w:r>
          </w:p>
        </w:tc>
        <w:tc>
          <w:tcPr>
            <w:tcW w:w="976" w:type="dxa"/>
          </w:tcPr>
          <w:p w14:paraId="7971E07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52" w:type="dxa"/>
          </w:tcPr>
          <w:p w14:paraId="20BCF04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5916" w:type="dxa"/>
          </w:tcPr>
          <w:p w14:paraId="0B5A8C5E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acción responde directamente a la causa priorizada y puede verificarse mediante responsable, frecuencia y evidencia.</w:t>
            </w:r>
          </w:p>
        </w:tc>
      </w:tr>
      <w:tr w:rsidR="00660760" w:rsidRPr="00976711" w14:paraId="49EE587D" w14:textId="77777777" w:rsidTr="00E9514D">
        <w:trPr>
          <w:jc w:val="center"/>
        </w:trPr>
        <w:tc>
          <w:tcPr>
            <w:tcW w:w="720" w:type="dxa"/>
            <w:gridSpan w:val="2"/>
          </w:tcPr>
          <w:p w14:paraId="25F5D39E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976" w:type="dxa"/>
          </w:tcPr>
          <w:p w14:paraId="62C415B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52" w:type="dxa"/>
          </w:tcPr>
          <w:p w14:paraId="1782B62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0C91A18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estructura del plan debe asegurar trazabilidad, responsabilidad, temporalidad y medición mediante indicadores y evidencias.</w:t>
            </w:r>
          </w:p>
        </w:tc>
      </w:tr>
      <w:tr w:rsidR="00660760" w:rsidRPr="00976711" w14:paraId="69FAC8E5" w14:textId="77777777" w:rsidTr="00E9514D">
        <w:trPr>
          <w:jc w:val="center"/>
        </w:trPr>
        <w:tc>
          <w:tcPr>
            <w:tcW w:w="720" w:type="dxa"/>
            <w:gridSpan w:val="2"/>
          </w:tcPr>
          <w:p w14:paraId="57C57FD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976" w:type="dxa"/>
          </w:tcPr>
          <w:p w14:paraId="4EC6191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52" w:type="dxa"/>
          </w:tcPr>
          <w:p w14:paraId="20BCA9B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00C6E98F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Las acciones de alto impacto y alto esfuerzo pueden mantenerse, pero requieren planificación por fases, recursos, apoyos y control de viabilidad.</w:t>
            </w:r>
          </w:p>
        </w:tc>
      </w:tr>
      <w:tr w:rsidR="00660760" w:rsidRPr="00976711" w14:paraId="7D1E42D9" w14:textId="77777777" w:rsidTr="00E9514D">
        <w:trPr>
          <w:jc w:val="center"/>
        </w:trPr>
        <w:tc>
          <w:tcPr>
            <w:tcW w:w="720" w:type="dxa"/>
            <w:gridSpan w:val="2"/>
          </w:tcPr>
          <w:p w14:paraId="54F9F10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976" w:type="dxa"/>
          </w:tcPr>
          <w:p w14:paraId="139F835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52" w:type="dxa"/>
          </w:tcPr>
          <w:p w14:paraId="697D66A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0AD73523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viabilidad se analiza con base en capacidades, recursos, restricciones, riesgos, supuestos y contingencias.</w:t>
            </w:r>
          </w:p>
        </w:tc>
      </w:tr>
      <w:tr w:rsidR="00660760" w:rsidRPr="00976711" w14:paraId="3B004504" w14:textId="77777777" w:rsidTr="00E9514D">
        <w:trPr>
          <w:jc w:val="center"/>
        </w:trPr>
        <w:tc>
          <w:tcPr>
            <w:tcW w:w="720" w:type="dxa"/>
            <w:gridSpan w:val="2"/>
          </w:tcPr>
          <w:p w14:paraId="0CF7757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976" w:type="dxa"/>
          </w:tcPr>
          <w:p w14:paraId="0C615E9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52" w:type="dxa"/>
          </w:tcPr>
          <w:p w14:paraId="0E75DDC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5ACB0EB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Plan de Mejora contempla apoyos externos y articulación de servicios cuando la solución excede las capacidades del NAE o del equipo acompañante.</w:t>
            </w:r>
          </w:p>
        </w:tc>
      </w:tr>
      <w:tr w:rsidR="00660760" w:rsidRPr="00976711" w14:paraId="5E013CE3" w14:textId="77777777" w:rsidTr="00E9514D">
        <w:trPr>
          <w:jc w:val="center"/>
        </w:trPr>
        <w:tc>
          <w:tcPr>
            <w:tcW w:w="720" w:type="dxa"/>
            <w:gridSpan w:val="2"/>
          </w:tcPr>
          <w:p w14:paraId="14648FA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976" w:type="dxa"/>
          </w:tcPr>
          <w:p w14:paraId="70E8EF4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52" w:type="dxa"/>
          </w:tcPr>
          <w:p w14:paraId="332FAA2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469F07F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mentoría facilita análisis y aprendizaje sin sustituir la decisión de la persona responsable del NAE.</w:t>
            </w:r>
          </w:p>
        </w:tc>
      </w:tr>
      <w:tr w:rsidR="00660760" w:rsidRPr="00976711" w14:paraId="0E5E515E" w14:textId="77777777" w:rsidTr="00E9514D">
        <w:trPr>
          <w:jc w:val="center"/>
        </w:trPr>
        <w:tc>
          <w:tcPr>
            <w:tcW w:w="720" w:type="dxa"/>
            <w:gridSpan w:val="2"/>
          </w:tcPr>
          <w:p w14:paraId="7089A61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976" w:type="dxa"/>
          </w:tcPr>
          <w:p w14:paraId="6BB64B3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52" w:type="dxa"/>
          </w:tcPr>
          <w:p w14:paraId="4B71B06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388B395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escucha activa implica comprender antes de responder, parafrasear, validar comprensión y profundizar mediante preguntas.</w:t>
            </w:r>
          </w:p>
        </w:tc>
      </w:tr>
      <w:tr w:rsidR="00660760" w:rsidRPr="00976711" w14:paraId="016E2C25" w14:textId="77777777" w:rsidTr="00E9514D">
        <w:trPr>
          <w:jc w:val="center"/>
        </w:trPr>
        <w:tc>
          <w:tcPr>
            <w:tcW w:w="720" w:type="dxa"/>
            <w:gridSpan w:val="2"/>
          </w:tcPr>
          <w:p w14:paraId="53644EC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976" w:type="dxa"/>
          </w:tcPr>
          <w:p w14:paraId="4A2E002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52" w:type="dxa"/>
          </w:tcPr>
          <w:p w14:paraId="61C8C14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DAC2E03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compromiso debe poder revisarse objetivamente en la siguiente sesión, por lo que requiere definición concreta y evidencia.</w:t>
            </w:r>
          </w:p>
        </w:tc>
      </w:tr>
      <w:tr w:rsidR="00660760" w:rsidRPr="00976711" w14:paraId="4ED29C49" w14:textId="77777777" w:rsidTr="00E9514D">
        <w:trPr>
          <w:jc w:val="center"/>
        </w:trPr>
        <w:tc>
          <w:tcPr>
            <w:tcW w:w="720" w:type="dxa"/>
            <w:gridSpan w:val="2"/>
          </w:tcPr>
          <w:p w14:paraId="7AA02F1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976" w:type="dxa"/>
          </w:tcPr>
          <w:p w14:paraId="6E3AEF7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52" w:type="dxa"/>
          </w:tcPr>
          <w:p w14:paraId="6601FF3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75A8264F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bitácora permite continuidad, trazabilidad y aprendizaje técnico del proceso de acompañamiento.</w:t>
            </w:r>
          </w:p>
        </w:tc>
      </w:tr>
      <w:tr w:rsidR="00660760" w:rsidRPr="00976711" w14:paraId="3F4200D5" w14:textId="77777777" w:rsidTr="00E9514D">
        <w:trPr>
          <w:jc w:val="center"/>
        </w:trPr>
        <w:tc>
          <w:tcPr>
            <w:tcW w:w="720" w:type="dxa"/>
            <w:gridSpan w:val="2"/>
          </w:tcPr>
          <w:p w14:paraId="00C2727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976" w:type="dxa"/>
          </w:tcPr>
          <w:p w14:paraId="3EADFFD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752" w:type="dxa"/>
          </w:tcPr>
          <w:p w14:paraId="343BE4C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78C52C50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ética del acompañamiento exige reconocer límites profesionales y realizar derivaciones responsables cuando el tema requiere conocimiento especializado.</w:t>
            </w:r>
          </w:p>
        </w:tc>
      </w:tr>
      <w:tr w:rsidR="00660760" w:rsidRPr="00976711" w14:paraId="210E0E83" w14:textId="77777777" w:rsidTr="00E9514D">
        <w:trPr>
          <w:jc w:val="center"/>
        </w:trPr>
        <w:tc>
          <w:tcPr>
            <w:tcW w:w="720" w:type="dxa"/>
            <w:gridSpan w:val="2"/>
          </w:tcPr>
          <w:p w14:paraId="6226CA5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976" w:type="dxa"/>
          </w:tcPr>
          <w:p w14:paraId="052C3E3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52" w:type="dxa"/>
          </w:tcPr>
          <w:p w14:paraId="0D5BDE6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1870237C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registro es una salida concreta generada por la actividad; los otros enunciados describen cambios en prácticas o desempeño.</w:t>
            </w:r>
          </w:p>
        </w:tc>
      </w:tr>
      <w:tr w:rsidR="00660760" w:rsidRPr="00976711" w14:paraId="01F0315A" w14:textId="77777777" w:rsidTr="00E9514D">
        <w:trPr>
          <w:jc w:val="center"/>
        </w:trPr>
        <w:tc>
          <w:tcPr>
            <w:tcW w:w="720" w:type="dxa"/>
            <w:gridSpan w:val="2"/>
          </w:tcPr>
          <w:p w14:paraId="334F6F7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lastRenderedPageBreak/>
              <w:t>22</w:t>
            </w:r>
          </w:p>
        </w:tc>
        <w:tc>
          <w:tcPr>
            <w:tcW w:w="976" w:type="dxa"/>
          </w:tcPr>
          <w:p w14:paraId="0974D539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52" w:type="dxa"/>
          </w:tcPr>
          <w:p w14:paraId="622491C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2FF916E6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indicador adquiere utilidad para seguimiento cuando se conoce la situación inicial, el valor esperado y la fuente que permite comprobarlo.</w:t>
            </w:r>
          </w:p>
        </w:tc>
      </w:tr>
      <w:tr w:rsidR="00660760" w:rsidRPr="00976711" w14:paraId="03523A5B" w14:textId="77777777" w:rsidTr="00E9514D">
        <w:trPr>
          <w:jc w:val="center"/>
        </w:trPr>
        <w:tc>
          <w:tcPr>
            <w:tcW w:w="720" w:type="dxa"/>
            <w:gridSpan w:val="2"/>
          </w:tcPr>
          <w:p w14:paraId="76A1FB3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23</w:t>
            </w:r>
          </w:p>
        </w:tc>
        <w:tc>
          <w:tcPr>
            <w:tcW w:w="976" w:type="dxa"/>
          </w:tcPr>
          <w:p w14:paraId="3F2F9605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52" w:type="dxa"/>
          </w:tcPr>
          <w:p w14:paraId="1F9B265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5916" w:type="dxa"/>
          </w:tcPr>
          <w:p w14:paraId="1E1AC05C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línea de base describe la situación inicial desde la cual se medirán avances posteriores.</w:t>
            </w:r>
          </w:p>
        </w:tc>
      </w:tr>
      <w:tr w:rsidR="00660760" w:rsidRPr="00976711" w14:paraId="32A0563C" w14:textId="77777777" w:rsidTr="00E9514D">
        <w:trPr>
          <w:jc w:val="center"/>
        </w:trPr>
        <w:tc>
          <w:tcPr>
            <w:tcW w:w="720" w:type="dxa"/>
            <w:gridSpan w:val="2"/>
          </w:tcPr>
          <w:p w14:paraId="049559A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976" w:type="dxa"/>
          </w:tcPr>
          <w:p w14:paraId="709C1B2D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52" w:type="dxa"/>
          </w:tcPr>
          <w:p w14:paraId="2FCB8C3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2ECE1249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amarillo indica riesgo o retraso manejable y debe conducir a ajustes sustentados en evidencia.</w:t>
            </w:r>
          </w:p>
        </w:tc>
      </w:tr>
      <w:tr w:rsidR="00660760" w:rsidRPr="00976711" w14:paraId="3E4506B5" w14:textId="77777777" w:rsidTr="00E9514D">
        <w:trPr>
          <w:jc w:val="center"/>
        </w:trPr>
        <w:tc>
          <w:tcPr>
            <w:tcW w:w="720" w:type="dxa"/>
            <w:gridSpan w:val="2"/>
          </w:tcPr>
          <w:p w14:paraId="4C18FBD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976" w:type="dxa"/>
          </w:tcPr>
          <w:p w14:paraId="75830C5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52" w:type="dxa"/>
          </w:tcPr>
          <w:p w14:paraId="3F7E967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765F3A1B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satisfacción es una fuente útil, pero no sustituye evidencias de implementación, aplicación, cambios y resultados.</w:t>
            </w:r>
          </w:p>
        </w:tc>
      </w:tr>
      <w:tr w:rsidR="00660760" w:rsidRPr="00976711" w14:paraId="56BE7DCF" w14:textId="77777777" w:rsidTr="00E9514D">
        <w:trPr>
          <w:jc w:val="center"/>
        </w:trPr>
        <w:tc>
          <w:tcPr>
            <w:tcW w:w="720" w:type="dxa"/>
            <w:gridSpan w:val="2"/>
          </w:tcPr>
          <w:p w14:paraId="791F32FB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976" w:type="dxa"/>
          </w:tcPr>
          <w:p w14:paraId="3CF3B03C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52" w:type="dxa"/>
          </w:tcPr>
          <w:p w14:paraId="6BBCBABF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42552022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enfoque de género analiza acceso, participación, liderazgo y barreras diferenciadas a lo largo de todo el proceso.</w:t>
            </w:r>
          </w:p>
        </w:tc>
      </w:tr>
      <w:tr w:rsidR="00660760" w:rsidRPr="00976711" w14:paraId="00CC4035" w14:textId="77777777" w:rsidTr="00E9514D">
        <w:trPr>
          <w:jc w:val="center"/>
        </w:trPr>
        <w:tc>
          <w:tcPr>
            <w:tcW w:w="720" w:type="dxa"/>
            <w:gridSpan w:val="2"/>
          </w:tcPr>
          <w:p w14:paraId="64ED56A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976" w:type="dxa"/>
          </w:tcPr>
          <w:p w14:paraId="00220017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52" w:type="dxa"/>
          </w:tcPr>
          <w:p w14:paraId="336A2768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0A768B57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módulo integra sostenibilidad económica, social y ambiental, además de eficiencia, resiliencia y uso responsable de recursos.</w:t>
            </w:r>
          </w:p>
        </w:tc>
      </w:tr>
      <w:tr w:rsidR="00660760" w:rsidRPr="00976711" w14:paraId="37E2A993" w14:textId="77777777" w:rsidTr="00E9514D">
        <w:trPr>
          <w:jc w:val="center"/>
        </w:trPr>
        <w:tc>
          <w:tcPr>
            <w:tcW w:w="720" w:type="dxa"/>
            <w:gridSpan w:val="2"/>
          </w:tcPr>
          <w:p w14:paraId="36C7DC30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976" w:type="dxa"/>
          </w:tcPr>
          <w:p w14:paraId="2C56FA5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52" w:type="dxa"/>
          </w:tcPr>
          <w:p w14:paraId="1FCF16A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6A3E059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Los ejemplos, recursos y logística son adaptables; la fidelidad metodológica se conserva cuando permanecen competencias, principios y resultados esenciales.</w:t>
            </w:r>
          </w:p>
        </w:tc>
      </w:tr>
      <w:tr w:rsidR="00660760" w:rsidRPr="00976711" w14:paraId="055136E6" w14:textId="77777777" w:rsidTr="00E9514D">
        <w:trPr>
          <w:jc w:val="center"/>
        </w:trPr>
        <w:tc>
          <w:tcPr>
            <w:tcW w:w="720" w:type="dxa"/>
            <w:gridSpan w:val="2"/>
          </w:tcPr>
          <w:p w14:paraId="0D902DD1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976" w:type="dxa"/>
          </w:tcPr>
          <w:p w14:paraId="6F3A745A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52" w:type="dxa"/>
          </w:tcPr>
          <w:p w14:paraId="308EA133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ACAE8C8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La ética del acompañamiento exige manejo responsable de la información, consentimiento y protección de datos sensibles.</w:t>
            </w:r>
          </w:p>
        </w:tc>
      </w:tr>
      <w:tr w:rsidR="00660760" w:rsidRPr="00976711" w14:paraId="56DF7CDB" w14:textId="77777777" w:rsidTr="00E9514D">
        <w:trPr>
          <w:jc w:val="center"/>
        </w:trPr>
        <w:tc>
          <w:tcPr>
            <w:tcW w:w="720" w:type="dxa"/>
            <w:gridSpan w:val="2"/>
          </w:tcPr>
          <w:p w14:paraId="17B3BAF2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976" w:type="dxa"/>
          </w:tcPr>
          <w:p w14:paraId="6517A1E4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752" w:type="dxa"/>
          </w:tcPr>
          <w:p w14:paraId="56AA88B6" w14:textId="77777777" w:rsidR="00660760" w:rsidRPr="00660760" w:rsidRDefault="00660760" w:rsidP="002A4A2C">
            <w:pPr>
              <w:rPr>
                <w:rFonts w:asciiTheme="minorHAnsi" w:hAnsiTheme="minorHAnsi" w:cstheme="minorHAnsi"/>
              </w:rPr>
            </w:pPr>
            <w:r w:rsidRPr="00660760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5916" w:type="dxa"/>
          </w:tcPr>
          <w:p w14:paraId="674B82A2" w14:textId="77777777" w:rsidR="00660760" w:rsidRPr="00660760" w:rsidRDefault="00660760" w:rsidP="002A4A2C">
            <w:pPr>
              <w:rPr>
                <w:rFonts w:asciiTheme="minorHAnsi" w:hAnsiTheme="minorHAnsi" w:cstheme="minorHAnsi"/>
                <w:lang w:val="es-419"/>
              </w:rPr>
            </w:pPr>
            <w:r w:rsidRPr="00660760">
              <w:rPr>
                <w:rFonts w:asciiTheme="minorHAnsi" w:hAnsiTheme="minorHAnsi" w:cstheme="minorHAnsi"/>
                <w:lang w:val="es-419"/>
              </w:rPr>
              <w:t>El modelo de cascada requiere documentación, observación, retroalimentación y seguimiento para mantener calidad y aprender de las adaptaciones territoriales.</w:t>
            </w:r>
          </w:p>
        </w:tc>
      </w:tr>
    </w:tbl>
    <w:p w14:paraId="7ED07ADC" w14:textId="77777777" w:rsidR="00660760" w:rsidRPr="00660760" w:rsidRDefault="00660760" w:rsidP="00660760">
      <w:pPr>
        <w:pStyle w:val="Sinespaciado"/>
        <w:rPr>
          <w:lang w:val="es-419"/>
        </w:rPr>
      </w:pPr>
    </w:p>
    <w:sectPr w:rsidR="00660760" w:rsidRPr="00660760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2BDF" w14:textId="77777777" w:rsidR="009D25C0" w:rsidRDefault="009D25C0" w:rsidP="00DB7060">
      <w:pPr>
        <w:spacing w:after="0" w:line="240" w:lineRule="auto"/>
      </w:pPr>
      <w:r>
        <w:separator/>
      </w:r>
    </w:p>
  </w:endnote>
  <w:endnote w:type="continuationSeparator" w:id="0">
    <w:p w14:paraId="038462BE" w14:textId="77777777" w:rsidR="009D25C0" w:rsidRDefault="009D25C0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17792768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B585" w14:textId="77777777" w:rsidR="009D25C0" w:rsidRDefault="009D25C0" w:rsidP="00DB7060">
      <w:pPr>
        <w:spacing w:after="0" w:line="240" w:lineRule="auto"/>
      </w:pPr>
      <w:r>
        <w:separator/>
      </w:r>
    </w:p>
  </w:footnote>
  <w:footnote w:type="continuationSeparator" w:id="0">
    <w:p w14:paraId="0D5F5501" w14:textId="77777777" w:rsidR="009D25C0" w:rsidRDefault="009D25C0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21204099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22192249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50451D">
      <w:rPr>
        <w:sz w:val="20"/>
        <w:szCs w:val="20"/>
        <w:lang w:val="es-CU"/>
      </w:rPr>
      <w:t xml:space="preserve">Claves de Evaluación </w:t>
    </w:r>
    <w:r w:rsidR="00660760">
      <w:rPr>
        <w:sz w:val="20"/>
        <w:szCs w:val="20"/>
        <w:lang w:val="es-CU"/>
      </w:rPr>
      <w:t>Comentada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D4A76"/>
    <w:multiLevelType w:val="hybridMultilevel"/>
    <w:tmpl w:val="EF0E8C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00944"/>
    <w:multiLevelType w:val="hybridMultilevel"/>
    <w:tmpl w:val="D8B07D1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85FC1"/>
    <w:multiLevelType w:val="hybridMultilevel"/>
    <w:tmpl w:val="6A40A41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6609A"/>
    <w:multiLevelType w:val="hybridMultilevel"/>
    <w:tmpl w:val="961A017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18A5"/>
    <w:multiLevelType w:val="hybridMultilevel"/>
    <w:tmpl w:val="6272371C"/>
    <w:lvl w:ilvl="0" w:tplc="B0066E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7631"/>
    <w:multiLevelType w:val="hybridMultilevel"/>
    <w:tmpl w:val="DEE0C73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C58B7"/>
    <w:multiLevelType w:val="hybridMultilevel"/>
    <w:tmpl w:val="0B760CD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30896"/>
    <w:multiLevelType w:val="hybridMultilevel"/>
    <w:tmpl w:val="48A4477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47822"/>
    <w:multiLevelType w:val="hybridMultilevel"/>
    <w:tmpl w:val="6DF6111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459CFEB4">
      <w:start w:val="4"/>
      <w:numFmt w:val="bullet"/>
      <w:lvlText w:val="•"/>
      <w:lvlJc w:val="left"/>
      <w:pPr>
        <w:ind w:left="1770" w:hanging="690"/>
      </w:pPr>
      <w:rPr>
        <w:rFonts w:ascii="Arial" w:eastAsia="MS Mincho" w:hAnsi="Arial" w:cs="Arial" w:hint="default"/>
      </w:r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433A5"/>
    <w:multiLevelType w:val="hybridMultilevel"/>
    <w:tmpl w:val="06CC306C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4E83"/>
    <w:multiLevelType w:val="hybridMultilevel"/>
    <w:tmpl w:val="14DC9ED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24D4"/>
    <w:multiLevelType w:val="hybridMultilevel"/>
    <w:tmpl w:val="B01A4A7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74C16"/>
    <w:multiLevelType w:val="hybridMultilevel"/>
    <w:tmpl w:val="5A5A8D26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40041"/>
    <w:multiLevelType w:val="hybridMultilevel"/>
    <w:tmpl w:val="75DE5A9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D61AF"/>
    <w:multiLevelType w:val="hybridMultilevel"/>
    <w:tmpl w:val="42E6C05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033D3"/>
    <w:multiLevelType w:val="hybridMultilevel"/>
    <w:tmpl w:val="4DB227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0143B"/>
    <w:multiLevelType w:val="hybridMultilevel"/>
    <w:tmpl w:val="BD420F84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F6253"/>
    <w:multiLevelType w:val="hybridMultilevel"/>
    <w:tmpl w:val="767A8D1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1558E"/>
    <w:multiLevelType w:val="hybridMultilevel"/>
    <w:tmpl w:val="E224FBF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52E40"/>
    <w:multiLevelType w:val="hybridMultilevel"/>
    <w:tmpl w:val="09B261A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51B8F"/>
    <w:multiLevelType w:val="hybridMultilevel"/>
    <w:tmpl w:val="B958F0F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F6641"/>
    <w:multiLevelType w:val="hybridMultilevel"/>
    <w:tmpl w:val="6CF69FD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F34D0"/>
    <w:multiLevelType w:val="hybridMultilevel"/>
    <w:tmpl w:val="A1FE20E6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B57D6"/>
    <w:multiLevelType w:val="hybridMultilevel"/>
    <w:tmpl w:val="25ACB92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B6D25"/>
    <w:multiLevelType w:val="hybridMultilevel"/>
    <w:tmpl w:val="60E0C5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711B"/>
    <w:multiLevelType w:val="hybridMultilevel"/>
    <w:tmpl w:val="5CB6194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A5FFE"/>
    <w:multiLevelType w:val="hybridMultilevel"/>
    <w:tmpl w:val="2B40A422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C07C5"/>
    <w:multiLevelType w:val="hybridMultilevel"/>
    <w:tmpl w:val="E8A8345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B5CE2"/>
    <w:multiLevelType w:val="hybridMultilevel"/>
    <w:tmpl w:val="B282B27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933E9"/>
    <w:multiLevelType w:val="hybridMultilevel"/>
    <w:tmpl w:val="EE1A0A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105FC"/>
    <w:multiLevelType w:val="hybridMultilevel"/>
    <w:tmpl w:val="A62ECA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C7916"/>
    <w:multiLevelType w:val="hybridMultilevel"/>
    <w:tmpl w:val="A246E2CA"/>
    <w:lvl w:ilvl="0" w:tplc="F92E260A">
      <w:start w:val="1"/>
      <w:numFmt w:val="upperLetter"/>
      <w:lvlText w:val="%1."/>
      <w:lvlJc w:val="left"/>
      <w:pPr>
        <w:ind w:left="765" w:hanging="405"/>
      </w:pPr>
      <w:rPr>
        <w:rFonts w:hint="eastAsia"/>
        <w:b w:val="0"/>
        <w:bCs w:val="0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3C572E"/>
    <w:multiLevelType w:val="hybridMultilevel"/>
    <w:tmpl w:val="094E439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9782D"/>
    <w:multiLevelType w:val="hybridMultilevel"/>
    <w:tmpl w:val="8B3E3F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64748">
    <w:abstractNumId w:val="0"/>
  </w:num>
  <w:num w:numId="2" w16cid:durableId="258677731">
    <w:abstractNumId w:val="1"/>
  </w:num>
  <w:num w:numId="3" w16cid:durableId="311525050">
    <w:abstractNumId w:val="24"/>
  </w:num>
  <w:num w:numId="4" w16cid:durableId="1205569">
    <w:abstractNumId w:val="20"/>
  </w:num>
  <w:num w:numId="5" w16cid:durableId="2021857116">
    <w:abstractNumId w:val="11"/>
  </w:num>
  <w:num w:numId="6" w16cid:durableId="192152850">
    <w:abstractNumId w:val="14"/>
  </w:num>
  <w:num w:numId="7" w16cid:durableId="1327172172">
    <w:abstractNumId w:val="6"/>
  </w:num>
  <w:num w:numId="8" w16cid:durableId="1475681762">
    <w:abstractNumId w:val="18"/>
  </w:num>
  <w:num w:numId="9" w16cid:durableId="1450735686">
    <w:abstractNumId w:val="33"/>
  </w:num>
  <w:num w:numId="10" w16cid:durableId="2037919801">
    <w:abstractNumId w:val="29"/>
  </w:num>
  <w:num w:numId="11" w16cid:durableId="1082213882">
    <w:abstractNumId w:val="9"/>
  </w:num>
  <w:num w:numId="12" w16cid:durableId="524366180">
    <w:abstractNumId w:val="17"/>
  </w:num>
  <w:num w:numId="13" w16cid:durableId="452140226">
    <w:abstractNumId w:val="34"/>
  </w:num>
  <w:num w:numId="14" w16cid:durableId="2138522708">
    <w:abstractNumId w:val="22"/>
  </w:num>
  <w:num w:numId="15" w16cid:durableId="145515201">
    <w:abstractNumId w:val="13"/>
  </w:num>
  <w:num w:numId="16" w16cid:durableId="2086565601">
    <w:abstractNumId w:val="4"/>
  </w:num>
  <w:num w:numId="17" w16cid:durableId="187181971">
    <w:abstractNumId w:val="15"/>
  </w:num>
  <w:num w:numId="18" w16cid:durableId="1617059835">
    <w:abstractNumId w:val="31"/>
  </w:num>
  <w:num w:numId="19" w16cid:durableId="1604655842">
    <w:abstractNumId w:val="3"/>
  </w:num>
  <w:num w:numId="20" w16cid:durableId="57755568">
    <w:abstractNumId w:val="16"/>
  </w:num>
  <w:num w:numId="21" w16cid:durableId="2091347267">
    <w:abstractNumId w:val="23"/>
  </w:num>
  <w:num w:numId="22" w16cid:durableId="456803596">
    <w:abstractNumId w:val="26"/>
  </w:num>
  <w:num w:numId="23" w16cid:durableId="1900969628">
    <w:abstractNumId w:val="32"/>
  </w:num>
  <w:num w:numId="24" w16cid:durableId="1208757930">
    <w:abstractNumId w:val="19"/>
  </w:num>
  <w:num w:numId="25" w16cid:durableId="559635978">
    <w:abstractNumId w:val="28"/>
  </w:num>
  <w:num w:numId="26" w16cid:durableId="199780624">
    <w:abstractNumId w:val="30"/>
  </w:num>
  <w:num w:numId="27" w16cid:durableId="1712608841">
    <w:abstractNumId w:val="7"/>
  </w:num>
  <w:num w:numId="28" w16cid:durableId="1307125680">
    <w:abstractNumId w:val="12"/>
  </w:num>
  <w:num w:numId="29" w16cid:durableId="1270435066">
    <w:abstractNumId w:val="25"/>
  </w:num>
  <w:num w:numId="30" w16cid:durableId="1916166163">
    <w:abstractNumId w:val="27"/>
  </w:num>
  <w:num w:numId="31" w16cid:durableId="309408131">
    <w:abstractNumId w:val="2"/>
  </w:num>
  <w:num w:numId="32" w16cid:durableId="196045505">
    <w:abstractNumId w:val="35"/>
  </w:num>
  <w:num w:numId="33" w16cid:durableId="1446584413">
    <w:abstractNumId w:val="8"/>
  </w:num>
  <w:num w:numId="34" w16cid:durableId="407655315">
    <w:abstractNumId w:val="10"/>
  </w:num>
  <w:num w:numId="35" w16cid:durableId="1600019382">
    <w:abstractNumId w:val="5"/>
  </w:num>
  <w:num w:numId="36" w16cid:durableId="232198449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0A2A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D1CC8"/>
    <w:rsid w:val="003F39C1"/>
    <w:rsid w:val="00454FBF"/>
    <w:rsid w:val="00465A48"/>
    <w:rsid w:val="004768D5"/>
    <w:rsid w:val="00495E3F"/>
    <w:rsid w:val="004C1134"/>
    <w:rsid w:val="004E5B1D"/>
    <w:rsid w:val="0050451D"/>
    <w:rsid w:val="00504933"/>
    <w:rsid w:val="0052187C"/>
    <w:rsid w:val="0052351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60760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D1317"/>
    <w:rsid w:val="009D25C0"/>
    <w:rsid w:val="00A012E9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4D77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20E7B"/>
    <w:rsid w:val="00D3547D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9514D"/>
    <w:rsid w:val="00EA17D0"/>
    <w:rsid w:val="00F02A19"/>
    <w:rsid w:val="00F10BA3"/>
    <w:rsid w:val="00F3217B"/>
    <w:rsid w:val="00F33011"/>
    <w:rsid w:val="00F33C7E"/>
    <w:rsid w:val="00F378E0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C8"/>
    <w:pPr>
      <w:spacing w:after="200" w:line="276" w:lineRule="auto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E4B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2026-09-01T22:51:00Z</dcterms:created>
  <dcterms:modified xsi:type="dcterms:W3CDTF">2026-09-01T23:05:00Z</dcterms:modified>
</cp:coreProperties>
</file>