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ERP Copilot</w:t>
      </w:r>
    </w:p>
    <w:p>
      <w:pPr>
        <w:spacing w:after="40"/>
      </w:pPr>
      <w:r>
        <w:rPr>
          <w:color w:val="444444"/>
          <w:sz w:val="26"/>
          <w:szCs w:val="26"/>
        </w:rPr>
        <w:t xml:space="preserve">Design Document — Intelligent ERP Assistant (Option 2)</w:t>
      </w:r>
    </w:p>
    <w:p>
      <w:pPr>
        <w:spacing w:after="300"/>
      </w:pPr>
      <w:r>
        <w:rPr>
          <w:i/>
          <w:iCs/>
          <w:color w:val="777777"/>
          <w:sz w:val="20"/>
          <w:szCs w:val="20"/>
        </w:rPr>
        <w:t xml:space="preserve">Prepared by Syed Fakhir Rehman</w:t>
      </w:r>
    </w:p>
    <w:p>
      <w:pPr>
        <w:pBdr>
          <w:bottom w:val="single" w:color="CCCCCC" w:sz="6" w:space="1"/>
        </w:pBdr>
        <w:spacing w:after="200" w:before="80"/>
      </w:pPr>
    </w:p>
    <w:p>
      <w:pPr>
        <w:pStyle w:val="Heading1"/>
        <w:spacing w:after="160" w:before="320"/>
      </w:pPr>
      <w:r>
        <w:t xml:space="preserve">1. Problem</w:t>
      </w:r>
    </w:p>
    <w:p>
      <w:pPr>
        <w:spacing w:after="140"/>
      </w:pPr>
      <w:r>
        <w:t xml:space="preserve">Procurement and operations users in ERP systems typically discover problems late: a purchase order slips past its expected delivery, an item quietly falls below its reorder point, or a vendor's reliability degrades — and none of it surfaces until someone manually runs a report or a stockout already happened. Decisions end up reactive, made by cross-referencing three or four screens by hand under time pressure.</w:t>
      </w:r>
    </w:p>
    <w:p>
      <w:pPr>
        <w:pStyle w:val="Heading1"/>
        <w:spacing w:after="160" w:before="320"/>
      </w:pPr>
      <w:r>
        <w:t xml:space="preserve">2. Target User &amp; Use Case</w:t>
      </w:r>
    </w:p>
    <w:p>
      <w:pPr>
        <w:pStyle w:val="ListParagraph"/>
        <w:numPr>
          <w:ilvl w:val="0"/>
          <w:numId w:val="2"/>
        </w:numPr>
        <w:spacing w:after="60"/>
      </w:pPr>
      <w:r>
        <w:rPr>
          <w:b/>
          <w:bCs/>
        </w:rPr>
        <w:t xml:space="preserve">Primary user — Procurement / Operations Manager:</w:t>
      </w:r>
      <w:r>
        <w:t xml:space="preserve"> Reviews open purchase orders, stock levels, and vendor performance as part of daily procure-to-pay operations.</w:t>
      </w:r>
    </w:p>
    <w:p>
      <w:pPr>
        <w:pStyle w:val="ListParagraph"/>
        <w:numPr>
          <w:ilvl w:val="0"/>
          <w:numId w:val="2"/>
        </w:numPr>
        <w:spacing w:after="60"/>
      </w:pPr>
      <w:r>
        <w:rPr>
          <w:b/>
          <w:bCs/>
        </w:rPr>
        <w:t xml:space="preserve">Core need:</w:t>
      </w:r>
      <w:r>
        <w:t xml:space="preserve"> Needs to know, at the start of the day, what needs attention right now and why — without manually reconciling PO, inventory, and vendor screens.</w:t>
      </w:r>
    </w:p>
    <w:p>
      <w:pPr>
        <w:pStyle w:val="ListParagraph"/>
        <w:numPr>
          <w:ilvl w:val="0"/>
          <w:numId w:val="2"/>
        </w:numPr>
        <w:spacing w:after="60"/>
      </w:pPr>
      <w:r>
        <w:rPr>
          <w:b/>
          <w:bCs/>
        </w:rPr>
        <w:t xml:space="preserve">Representative questions:</w:t>
      </w:r>
      <w:r>
        <w:t xml:space="preserve"> “Which purchase orders are at risk?” · “What should I reorder before it runs out?” · “Which vendors are hurting us this month?”</w:t>
      </w:r>
    </w:p>
    <w:p>
      <w:pPr>
        <w:pStyle w:val="Heading1"/>
        <w:spacing w:after="160" w:before="320"/>
      </w:pPr>
      <w:r>
        <w:t xml:space="preserve">3. Feature: ERP Copilot</w:t>
      </w:r>
    </w:p>
    <w:p>
      <w:pPr>
        <w:spacing w:after="140"/>
      </w:pPr>
      <w:r>
        <w:t xml:space="preserve">An AI-powered assistant embedded in the procure-to-pay flow that continuously reads live PO, inventory, and vendor data, computes risk signals with deterministic business rules, ranks them by severity, and uses an LLM to turn the ranked list into a short, plain-language daily briefing with concrete recommended actions. A companion chat lets the user ask free-form questions, answered strictly from the live data.</w:t>
      </w:r>
    </w:p>
    <w:p>
      <w:pPr>
        <w:pStyle w:val="ListParagraph"/>
        <w:numPr>
          <w:ilvl w:val="0"/>
          <w:numId w:val="2"/>
        </w:numPr>
        <w:spacing w:after="60"/>
      </w:pPr>
      <w:r>
        <w:rPr>
          <w:b/>
          <w:bCs/>
        </w:rPr>
        <w:t xml:space="preserve">Real-time monitoring:</w:t>
      </w:r>
      <w:r>
        <w:t xml:space="preserve"> Flags overdue POs, items at stockout risk, and underperforming vendors as soon as the data changes.</w:t>
      </w:r>
    </w:p>
    <w:p>
      <w:pPr>
        <w:pStyle w:val="ListParagraph"/>
        <w:numPr>
          <w:ilvl w:val="0"/>
          <w:numId w:val="2"/>
        </w:numPr>
        <w:spacing w:after="60"/>
      </w:pPr>
      <w:r>
        <w:rPr>
          <w:b/>
          <w:bCs/>
        </w:rPr>
        <w:t xml:space="preserve">Explainable scoring:</w:t>
      </w:r>
      <w:r>
        <w:t xml:space="preserve"> Deterministic rules score and rank every issue before the AI ever sees it — the AI explains and prioritizes, it does not decide the facts.</w:t>
      </w:r>
    </w:p>
    <w:p>
      <w:pPr>
        <w:pStyle w:val="ListParagraph"/>
        <w:numPr>
          <w:ilvl w:val="0"/>
          <w:numId w:val="2"/>
        </w:numPr>
        <w:spacing w:after="60"/>
      </w:pPr>
      <w:r>
        <w:rPr>
          <w:b/>
          <w:bCs/>
        </w:rPr>
        <w:t xml:space="preserve">Two AI-assisted actions:</w:t>
      </w:r>
      <w:r>
        <w:t xml:space="preserve"> “Generate today's briefing” for a ready-to-read summary; a chat box for ad hoc questions.</w:t>
      </w:r>
    </w:p>
    <w:p>
      <w:pPr>
        <w:pStyle w:val="ListParagraph"/>
        <w:numPr>
          <w:ilvl w:val="0"/>
          <w:numId w:val="2"/>
        </w:numPr>
        <w:spacing w:after="60"/>
      </w:pPr>
      <w:r>
        <w:rPr>
          <w:b/>
          <w:bCs/>
        </w:rPr>
        <w:t xml:space="preserve">Groundedness:</w:t>
      </w:r>
      <w:r>
        <w:t xml:space="preserve"> Every AI statement is grounded in the same table the user can see and audit — no hidden reasoning.</w:t>
      </w:r>
    </w:p>
    <w:p>
      <w:pPr>
        <w:pStyle w:val="Heading1"/>
        <w:spacing w:after="160" w:before="320"/>
      </w:pPr>
      <w:r>
        <w:t xml:space="preserve">4. Architecture &amp; Data Flow</w:t>
      </w:r>
    </w:p>
    <w:p>
      <w:pPr>
        <w:spacing w:after="140"/>
      </w:pPr>
      <w:r>
        <w:t xml:space="preserve">Google Sheets (published as CSV) → Streamlit app fetches &amp; caches (5 min TTL) → pandas risk-scoring layer (business rules) → ranked signal table → Claude (Anthropic API) turns ranked table into a briefing / chat answer → rendered in the Streamlit dashboard alongside the raw tables.</w:t>
      </w:r>
    </w:p>
    <w:p>
      <w:pPr>
        <w:spacing w:after="140"/>
      </w:pPr>
      <w:r>
        <w:t xml:space="preserve">This mirrors how the feature would sit inside a real ERP: the Google Sheet stands in for a live ERP data export/API; in production the same risk-scoring layer would read directly from the ERP's procurement, inventory, and vendor-management modules via an authenticated API instead of a public sheet.</w:t>
      </w:r>
    </w:p>
    <w:p>
      <w:pPr>
        <w:pStyle w:val="Heading1"/>
        <w:spacing w:after="160" w:before="320"/>
      </w:pPr>
      <w:r>
        <w:t xml:space="preserve">5. Data Model</w:t>
      </w:r>
    </w:p>
    <w:p>
      <w:pPr>
        <w:spacing w:after="140"/>
      </w:pPr>
      <w:r>
        <w:t xml:space="preserve">Three tables, matching common ERP procure-to-pay modules: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400"/>
      </w:tblGrid>
      <w:tr>
        <w:tc>
          <w:tcPr>
            <w:tcW w:type="dxa" w:w="2600"/>
            <w:shd w:fill="1F4E5F" w:val="clear"/>
            <w:tcMar>
              <w:top w:type="dxa" w:w="80"/>
              <w:left w:type="dxa" w:w="100"/>
              <w:bottom w:type="dxa" w:w="80"/>
              <w:right w:type="dxa" w:w="100"/>
            </w:tcMar>
          </w:tcPr>
          <w:p>
            <w:r>
              <w:rPr>
                <w:b/>
                <w:bCs/>
                <w:color w:val="FFFFFF"/>
                <w:sz w:val="20"/>
                <w:szCs w:val="20"/>
              </w:rPr>
              <w:t xml:space="preserve">Table</w:t>
            </w:r>
          </w:p>
        </w:tc>
        <w:tc>
          <w:tcPr>
            <w:tcW w:type="dxa" w:w="2200"/>
            <w:shd w:fill="1F4E5F" w:val="clear"/>
            <w:tcMar>
              <w:top w:type="dxa" w:w="80"/>
              <w:left w:type="dxa" w:w="100"/>
              <w:bottom w:type="dxa" w:w="80"/>
              <w:right w:type="dxa" w:w="100"/>
            </w:tcMar>
          </w:tcPr>
          <w:p>
            <w:r>
              <w:rPr>
                <w:b/>
                <w:bCs/>
                <w:color w:val="FFFFFF"/>
                <w:sz w:val="20"/>
                <w:szCs w:val="20"/>
              </w:rPr>
              <w:t xml:space="preserve">Key Fields</w:t>
            </w:r>
          </w:p>
        </w:tc>
        <w:tc>
          <w:tcPr>
            <w:tcW w:type="dxa" w:w="2000"/>
            <w:shd w:fill="1F4E5F" w:val="clear"/>
            <w:tcMar>
              <w:top w:type="dxa" w:w="80"/>
              <w:left w:type="dxa" w:w="100"/>
              <w:bottom w:type="dxa" w:w="80"/>
              <w:right w:type="dxa" w:w="100"/>
            </w:tcMar>
          </w:tcPr>
          <w:p>
            <w:r>
              <w:rPr>
                <w:b/>
                <w:bCs/>
                <w:color w:val="FFFFFF"/>
                <w:sz w:val="20"/>
                <w:szCs w:val="20"/>
              </w:rPr>
              <w:t xml:space="preserve">Purpose</w:t>
            </w:r>
          </w:p>
        </w:tc>
        <w:tc>
          <w:tcPr>
            <w:tcW w:type="dxa" w:w="2400"/>
            <w:shd w:fill="1F4E5F" w:val="clear"/>
            <w:tcMar>
              <w:top w:type="dxa" w:w="80"/>
              <w:left w:type="dxa" w:w="100"/>
              <w:bottom w:type="dxa" w:w="80"/>
              <w:right w:type="dxa" w:w="100"/>
            </w:tcMar>
          </w:tcPr>
          <w:p>
            <w:r>
              <w:rPr>
                <w:b/>
                <w:bCs/>
                <w:color w:val="FFFFFF"/>
                <w:sz w:val="20"/>
                <w:szCs w:val="20"/>
              </w:rPr>
              <w:t xml:space="preserve">Example Signal Derived</w:t>
            </w:r>
          </w:p>
        </w:tc>
      </w:tr>
      <w:tr>
        <w:tc>
          <w:tcPr>
            <w:tcW w:type="dxa" w:w="2600"/>
            <w:tcMar>
              <w:top w:type="dxa" w:w="80"/>
              <w:left w:type="dxa" w:w="100"/>
              <w:bottom w:type="dxa" w:w="80"/>
              <w:right w:type="dxa" w:w="100"/>
            </w:tcMar>
          </w:tcPr>
          <w:p>
            <w:r>
              <w:rPr>
                <w:b w:val="false"/>
                <w:bCs w:val="false"/>
                <w:color w:val="000000"/>
                <w:sz w:val="20"/>
                <w:szCs w:val="20"/>
              </w:rPr>
              <w:t xml:space="preserve">Purchase_Orders</w:t>
            </w:r>
          </w:p>
        </w:tc>
        <w:tc>
          <w:tcPr>
            <w:tcW w:type="dxa" w:w="2200"/>
            <w:tcMar>
              <w:top w:type="dxa" w:w="80"/>
              <w:left w:type="dxa" w:w="100"/>
              <w:bottom w:type="dxa" w:w="80"/>
              <w:right w:type="dxa" w:w="100"/>
            </w:tcMar>
          </w:tcPr>
          <w:p>
            <w:r>
              <w:rPr>
                <w:b w:val="false"/>
                <w:bCs w:val="false"/>
                <w:color w:val="000000"/>
                <w:sz w:val="18"/>
                <w:szCs w:val="18"/>
              </w:rPr>
              <w:t xml:space="preserve">PO_ID, Vendor, Item, Status, Expected_Delivery, Amount</w:t>
            </w:r>
          </w:p>
        </w:tc>
        <w:tc>
          <w:tcPr>
            <w:tcW w:type="dxa" w:w="2000"/>
            <w:tcMar>
              <w:top w:type="dxa" w:w="80"/>
              <w:left w:type="dxa" w:w="100"/>
              <w:bottom w:type="dxa" w:w="80"/>
              <w:right w:type="dxa" w:w="100"/>
            </w:tcMar>
          </w:tcPr>
          <w:p>
            <w:r>
              <w:rPr>
                <w:b w:val="false"/>
                <w:bCs w:val="false"/>
                <w:color w:val="000000"/>
                <w:sz w:val="18"/>
                <w:szCs w:val="18"/>
              </w:rPr>
              <w:t xml:space="preserve">Track live procurement commitments</w:t>
            </w:r>
          </w:p>
        </w:tc>
        <w:tc>
          <w:tcPr>
            <w:tcW w:type="dxa" w:w="2400"/>
            <w:tcMar>
              <w:top w:type="dxa" w:w="80"/>
              <w:left w:type="dxa" w:w="100"/>
              <w:bottom w:type="dxa" w:w="80"/>
              <w:right w:type="dxa" w:w="100"/>
            </w:tcMar>
          </w:tcPr>
          <w:p>
            <w:r>
              <w:rPr>
                <w:b w:val="false"/>
                <w:bCs w:val="false"/>
                <w:color w:val="000000"/>
                <w:sz w:val="18"/>
                <w:szCs w:val="18"/>
              </w:rPr>
              <w:t xml:space="preserve">Days overdue vs. expected delivery</w:t>
            </w:r>
          </w:p>
        </w:tc>
      </w:tr>
      <w:tr>
        <w:tc>
          <w:tcPr>
            <w:tcW w:type="dxa" w:w="2600"/>
            <w:tcMar>
              <w:top w:type="dxa" w:w="80"/>
              <w:left w:type="dxa" w:w="100"/>
              <w:bottom w:type="dxa" w:w="80"/>
              <w:right w:type="dxa" w:w="100"/>
            </w:tcMar>
          </w:tcPr>
          <w:p>
            <w:r>
              <w:rPr>
                <w:b w:val="false"/>
                <w:bCs w:val="false"/>
                <w:color w:val="000000"/>
                <w:sz w:val="20"/>
                <w:szCs w:val="20"/>
              </w:rPr>
              <w:t xml:space="preserve">Inventory</w:t>
            </w:r>
          </w:p>
        </w:tc>
        <w:tc>
          <w:tcPr>
            <w:tcW w:type="dxa" w:w="2200"/>
            <w:tcMar>
              <w:top w:type="dxa" w:w="80"/>
              <w:left w:type="dxa" w:w="100"/>
              <w:bottom w:type="dxa" w:w="80"/>
              <w:right w:type="dxa" w:w="100"/>
            </w:tcMar>
          </w:tcPr>
          <w:p>
            <w:r>
              <w:rPr>
                <w:b w:val="false"/>
                <w:bCs w:val="false"/>
                <w:color w:val="000000"/>
                <w:sz w:val="18"/>
                <w:szCs w:val="18"/>
              </w:rPr>
              <w:t xml:space="preserve">Item, Current_Stock, Reorder_Point, Avg_Daily_Usage, Lead_Time_Days</w:t>
            </w:r>
          </w:p>
        </w:tc>
        <w:tc>
          <w:tcPr>
            <w:tcW w:type="dxa" w:w="2000"/>
            <w:tcMar>
              <w:top w:type="dxa" w:w="80"/>
              <w:left w:type="dxa" w:w="100"/>
              <w:bottom w:type="dxa" w:w="80"/>
              <w:right w:type="dxa" w:w="100"/>
            </w:tcMar>
          </w:tcPr>
          <w:p>
            <w:r>
              <w:rPr>
                <w:b w:val="false"/>
                <w:bCs w:val="false"/>
                <w:color w:val="000000"/>
                <w:sz w:val="18"/>
                <w:szCs w:val="18"/>
              </w:rPr>
              <w:t xml:space="preserve">Track stock health per item</w:t>
            </w:r>
          </w:p>
        </w:tc>
        <w:tc>
          <w:tcPr>
            <w:tcW w:type="dxa" w:w="2400"/>
            <w:tcMar>
              <w:top w:type="dxa" w:w="80"/>
              <w:left w:type="dxa" w:w="100"/>
              <w:bottom w:type="dxa" w:w="80"/>
              <w:right w:type="dxa" w:w="100"/>
            </w:tcMar>
          </w:tcPr>
          <w:p>
            <w:r>
              <w:rPr>
                <w:b w:val="false"/>
                <w:bCs w:val="false"/>
                <w:color w:val="000000"/>
                <w:sz w:val="18"/>
                <w:szCs w:val="18"/>
              </w:rPr>
              <w:t xml:space="preserve">Days of cover vs. vendor lead time</w:t>
            </w:r>
          </w:p>
        </w:tc>
      </w:tr>
      <w:tr>
        <w:tc>
          <w:tcPr>
            <w:tcW w:type="dxa" w:w="2600"/>
            <w:tcMar>
              <w:top w:type="dxa" w:w="80"/>
              <w:left w:type="dxa" w:w="100"/>
              <w:bottom w:type="dxa" w:w="80"/>
              <w:right w:type="dxa" w:w="100"/>
            </w:tcMar>
          </w:tcPr>
          <w:p>
            <w:r>
              <w:rPr>
                <w:b w:val="false"/>
                <w:bCs w:val="false"/>
                <w:color w:val="000000"/>
                <w:sz w:val="20"/>
                <w:szCs w:val="20"/>
              </w:rPr>
              <w:t xml:space="preserve">Vendors</w:t>
            </w:r>
          </w:p>
        </w:tc>
        <w:tc>
          <w:tcPr>
            <w:tcW w:type="dxa" w:w="2200"/>
            <w:tcMar>
              <w:top w:type="dxa" w:w="80"/>
              <w:left w:type="dxa" w:w="100"/>
              <w:bottom w:type="dxa" w:w="80"/>
              <w:right w:type="dxa" w:w="100"/>
            </w:tcMar>
          </w:tcPr>
          <w:p>
            <w:r>
              <w:rPr>
                <w:b w:val="false"/>
                <w:bCs w:val="false"/>
                <w:color w:val="000000"/>
                <w:sz w:val="18"/>
                <w:szCs w:val="18"/>
              </w:rPr>
              <w:t xml:space="preserve">Vendor, On_Time_Delivery_Rate, Avg_Delay_Days, Risk_Rating</w:t>
            </w:r>
          </w:p>
        </w:tc>
        <w:tc>
          <w:tcPr>
            <w:tcW w:type="dxa" w:w="2000"/>
            <w:tcMar>
              <w:top w:type="dxa" w:w="80"/>
              <w:left w:type="dxa" w:w="100"/>
              <w:bottom w:type="dxa" w:w="80"/>
              <w:right w:type="dxa" w:w="100"/>
            </w:tcMar>
          </w:tcPr>
          <w:p>
            <w:r>
              <w:rPr>
                <w:b w:val="false"/>
                <w:bCs w:val="false"/>
                <w:color w:val="000000"/>
                <w:sz w:val="18"/>
                <w:szCs w:val="18"/>
              </w:rPr>
              <w:t xml:space="preserve">Track supplier reliability</w:t>
            </w:r>
          </w:p>
        </w:tc>
        <w:tc>
          <w:tcPr>
            <w:tcW w:type="dxa" w:w="2400"/>
            <w:tcMar>
              <w:top w:type="dxa" w:w="80"/>
              <w:left w:type="dxa" w:w="100"/>
              <w:bottom w:type="dxa" w:w="80"/>
              <w:right w:type="dxa" w:w="100"/>
            </w:tcMar>
          </w:tcPr>
          <w:p>
            <w:r>
              <w:rPr>
                <w:b w:val="false"/>
                <w:bCs w:val="false"/>
                <w:color w:val="000000"/>
                <w:sz w:val="18"/>
                <w:szCs w:val="18"/>
              </w:rPr>
              <w:t xml:space="preserve">Vendors flagged as high risk / chronically late</w:t>
            </w:r>
          </w:p>
        </w:tc>
      </w:tr>
    </w:tbl>
    <w:p>
      <w:pPr>
        <w:pStyle w:val="Heading1"/>
        <w:spacing w:after="160" w:before="320"/>
      </w:pPr>
      <w:r>
        <w:t xml:space="preserve">6. AI Approach</w:t>
      </w:r>
    </w:p>
    <w:p>
      <w:pPr>
        <w:spacing w:after="140"/>
      </w:pPr>
      <w:r>
        <w:t xml:space="preserve">Prototype uses Google's Gemini API (free tier via Google AI Studio) as the LLM; the call is isolated in a single function, so swapping in another provider (OpenAI, Claude, an open model on Hugging Face) is a one-function change and doesn't touch the risk-scoring logic.</w:t>
      </w:r>
    </w:p>
    <w:p>
      <w:pPr>
        <w:pStyle w:val="ListParagraph"/>
        <w:numPr>
          <w:ilvl w:val="0"/>
          <w:numId w:val="2"/>
        </w:numPr>
        <w:spacing w:after="60"/>
      </w:pPr>
      <w:r>
        <w:rPr>
          <w:b/>
          <w:bCs/>
        </w:rPr>
        <w:t xml:space="preserve">Grounding over generation:</w:t>
      </w:r>
      <w:r>
        <w:t xml:space="preserve"> The model receives only the pre-computed, ranked risk table (or the three source tables for chat) — never asked to infer facts from scratch.</w:t>
      </w:r>
    </w:p>
    <w:p>
      <w:pPr>
        <w:pStyle w:val="ListParagraph"/>
        <w:numPr>
          <w:ilvl w:val="0"/>
          <w:numId w:val="2"/>
        </w:numPr>
        <w:spacing w:after="60"/>
      </w:pPr>
      <w:r>
        <w:rPr>
          <w:b/>
          <w:bCs/>
        </w:rPr>
        <w:t xml:space="preserve">Guardrail prompt:</w:t>
      </w:r>
      <w:r>
        <w:t xml:space="preserve"> System prompt explicitly instructs the model to base every statement on the supplied data and never invent figures, vendors, or items.</w:t>
      </w:r>
    </w:p>
    <w:p>
      <w:pPr>
        <w:pStyle w:val="ListParagraph"/>
        <w:numPr>
          <w:ilvl w:val="0"/>
          <w:numId w:val="2"/>
        </w:numPr>
        <w:spacing w:after="60"/>
      </w:pPr>
      <w:r>
        <w:rPr>
          <w:b/>
          <w:bCs/>
        </w:rPr>
        <w:t xml:space="preserve">Constrained output format:</w:t>
      </w:r>
      <w:r>
        <w:t xml:space="preserve"> Output is deliberately short (3–6 bullets, most severe first) with a concrete action per point — optimized for a 30-second morning scan.</w:t>
      </w:r>
    </w:p>
    <w:p>
      <w:pPr>
        <w:pStyle w:val="ListParagraph"/>
        <w:numPr>
          <w:ilvl w:val="0"/>
          <w:numId w:val="2"/>
        </w:numPr>
        <w:spacing w:after="60"/>
      </w:pPr>
      <w:r>
        <w:rPr>
          <w:b/>
          <w:bCs/>
        </w:rPr>
        <w:t xml:space="preserve">Human-checkable by design:</w:t>
      </w:r>
      <w:r>
        <w:t xml:space="preserve"> Every AI answer is shown next to the same ranked table a human can independently verify.</w:t>
      </w:r>
    </w:p>
    <w:p>
      <w:pPr>
        <w:pStyle w:val="Heading1"/>
        <w:spacing w:after="160" w:before="320"/>
      </w:pPr>
      <w:r>
        <w:t xml:space="preserve">7. Success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700"/>
      </w:tblGrid>
      <w:tr>
        <w:tc>
          <w:tcPr>
            <w:tcW w:type="dxa" w:w="3200"/>
            <w:shd w:fill="1F4E5F" w:val="clear"/>
            <w:tcMar>
              <w:top w:type="dxa" w:w="80"/>
              <w:left w:type="dxa" w:w="100"/>
              <w:bottom w:type="dxa" w:w="80"/>
              <w:right w:type="dxa" w:w="100"/>
            </w:tcMar>
          </w:tcPr>
          <w:p>
            <w:r>
              <w:rPr>
                <w:b/>
                <w:bCs/>
                <w:color w:val="FFFFFF"/>
                <w:sz w:val="20"/>
                <w:szCs w:val="20"/>
              </w:rPr>
              <w:t xml:space="preserve">Metric</w:t>
            </w:r>
          </w:p>
        </w:tc>
        <w:tc>
          <w:tcPr>
            <w:tcW w:type="dxa" w:w="3300"/>
            <w:shd w:fill="1F4E5F" w:val="clear"/>
            <w:tcMar>
              <w:top w:type="dxa" w:w="80"/>
              <w:left w:type="dxa" w:w="100"/>
              <w:bottom w:type="dxa" w:w="80"/>
              <w:right w:type="dxa" w:w="100"/>
            </w:tcMar>
          </w:tcPr>
          <w:p>
            <w:r>
              <w:rPr>
                <w:b/>
                <w:bCs/>
                <w:color w:val="FFFFFF"/>
                <w:sz w:val="20"/>
                <w:szCs w:val="20"/>
              </w:rPr>
              <w:t xml:space="preserve">What it measures</w:t>
            </w:r>
          </w:p>
        </w:tc>
        <w:tc>
          <w:tcPr>
            <w:tcW w:type="dxa" w:w="2700"/>
            <w:shd w:fill="1F4E5F" w:val="clear"/>
            <w:tcMar>
              <w:top w:type="dxa" w:w="80"/>
              <w:left w:type="dxa" w:w="100"/>
              <w:bottom w:type="dxa" w:w="80"/>
              <w:right w:type="dxa" w:w="100"/>
            </w:tcMar>
          </w:tcPr>
          <w:p>
            <w:r>
              <w:rPr>
                <w:b/>
                <w:bCs/>
                <w:color w:val="FFFFFF"/>
                <w:sz w:val="20"/>
                <w:szCs w:val="20"/>
              </w:rPr>
              <w:t xml:space="preserve">Target</w:t>
            </w:r>
          </w:p>
        </w:tc>
      </w:tr>
      <w:tr>
        <w:tc>
          <w:tcPr>
            <w:tcW w:type="dxa" w:w="3200"/>
            <w:tcMar>
              <w:top w:type="dxa" w:w="80"/>
              <w:left w:type="dxa" w:w="100"/>
              <w:bottom w:type="dxa" w:w="80"/>
              <w:right w:type="dxa" w:w="100"/>
            </w:tcMar>
          </w:tcPr>
          <w:p>
            <w:r>
              <w:rPr>
                <w:b w:val="false"/>
                <w:bCs w:val="false"/>
                <w:color w:val="000000"/>
                <w:sz w:val="18"/>
                <w:szCs w:val="18"/>
              </w:rPr>
              <w:t xml:space="preserve">Time-to-detect risk</w:t>
            </w:r>
          </w:p>
        </w:tc>
        <w:tc>
          <w:tcPr>
            <w:tcW w:type="dxa" w:w="3300"/>
            <w:tcMar>
              <w:top w:type="dxa" w:w="80"/>
              <w:left w:type="dxa" w:w="100"/>
              <w:bottom w:type="dxa" w:w="80"/>
              <w:right w:type="dxa" w:w="100"/>
            </w:tcMar>
          </w:tcPr>
          <w:p>
            <w:r>
              <w:rPr>
                <w:b w:val="false"/>
                <w:bCs w:val="false"/>
                <w:color w:val="000000"/>
                <w:sz w:val="18"/>
                <w:szCs w:val="18"/>
              </w:rPr>
              <w:t xml:space="preserve">Delay between an issue appearing in source data and it surfacing in the briefing</w:t>
            </w:r>
          </w:p>
        </w:tc>
        <w:tc>
          <w:tcPr>
            <w:tcW w:type="dxa" w:w="2700"/>
            <w:tcMar>
              <w:top w:type="dxa" w:w="80"/>
              <w:left w:type="dxa" w:w="100"/>
              <w:bottom w:type="dxa" w:w="80"/>
              <w:right w:type="dxa" w:w="100"/>
            </w:tcMar>
          </w:tcPr>
          <w:p>
            <w:r>
              <w:rPr>
                <w:b w:val="false"/>
                <w:bCs w:val="false"/>
                <w:color w:val="000000"/>
                <w:sz w:val="18"/>
                <w:szCs w:val="18"/>
              </w:rPr>
              <w:t xml:space="preserve">&lt; 5 minutes (next data refresh)</w:t>
            </w:r>
          </w:p>
        </w:tc>
      </w:tr>
      <w:tr>
        <w:tc>
          <w:tcPr>
            <w:tcW w:type="dxa" w:w="3200"/>
            <w:tcMar>
              <w:top w:type="dxa" w:w="80"/>
              <w:left w:type="dxa" w:w="100"/>
              <w:bottom w:type="dxa" w:w="80"/>
              <w:right w:type="dxa" w:w="100"/>
            </w:tcMar>
          </w:tcPr>
          <w:p>
            <w:r>
              <w:rPr>
                <w:b w:val="false"/>
                <w:bCs w:val="false"/>
                <w:color w:val="000000"/>
                <w:sz w:val="18"/>
                <w:szCs w:val="18"/>
              </w:rPr>
              <w:t xml:space="preserve">Action adoption rate</w:t>
            </w:r>
          </w:p>
        </w:tc>
        <w:tc>
          <w:tcPr>
            <w:tcW w:type="dxa" w:w="3300"/>
            <w:tcMar>
              <w:top w:type="dxa" w:w="80"/>
              <w:left w:type="dxa" w:w="100"/>
              <w:bottom w:type="dxa" w:w="80"/>
              <w:right w:type="dxa" w:w="100"/>
            </w:tcMar>
          </w:tcPr>
          <w:p>
            <w:r>
              <w:rPr>
                <w:b w:val="false"/>
                <w:bCs w:val="false"/>
                <w:color w:val="000000"/>
                <w:sz w:val="18"/>
                <w:szCs w:val="18"/>
              </w:rPr>
              <w:t xml:space="preserve">% of recommended actions a user acts on within 24h</w:t>
            </w:r>
          </w:p>
        </w:tc>
        <w:tc>
          <w:tcPr>
            <w:tcW w:type="dxa" w:w="2700"/>
            <w:tcMar>
              <w:top w:type="dxa" w:w="80"/>
              <w:left w:type="dxa" w:w="100"/>
              <w:bottom w:type="dxa" w:w="80"/>
              <w:right w:type="dxa" w:w="100"/>
            </w:tcMar>
          </w:tcPr>
          <w:p>
            <w:r>
              <w:rPr>
                <w:b w:val="false"/>
                <w:bCs w:val="false"/>
                <w:color w:val="000000"/>
                <w:sz w:val="18"/>
                <w:szCs w:val="18"/>
              </w:rPr>
              <w:t xml:space="preserve">&gt; 50% within 3 months</w:t>
            </w:r>
          </w:p>
        </w:tc>
      </w:tr>
      <w:tr>
        <w:tc>
          <w:tcPr>
            <w:tcW w:type="dxa" w:w="3200"/>
            <w:tcMar>
              <w:top w:type="dxa" w:w="80"/>
              <w:left w:type="dxa" w:w="100"/>
              <w:bottom w:type="dxa" w:w="80"/>
              <w:right w:type="dxa" w:w="100"/>
            </w:tcMar>
          </w:tcPr>
          <w:p>
            <w:r>
              <w:rPr>
                <w:b w:val="false"/>
                <w:bCs w:val="false"/>
                <w:color w:val="000000"/>
                <w:sz w:val="18"/>
                <w:szCs w:val="18"/>
              </w:rPr>
              <w:t xml:space="preserve">Stockout incidents avoided</w:t>
            </w:r>
          </w:p>
        </w:tc>
        <w:tc>
          <w:tcPr>
            <w:tcW w:type="dxa" w:w="3300"/>
            <w:tcMar>
              <w:top w:type="dxa" w:w="80"/>
              <w:left w:type="dxa" w:w="100"/>
              <w:bottom w:type="dxa" w:w="80"/>
              <w:right w:type="dxa" w:w="100"/>
            </w:tcMar>
          </w:tcPr>
          <w:p>
            <w:r>
              <w:rPr>
                <w:b w:val="false"/>
                <w:bCs w:val="false"/>
                <w:color w:val="000000"/>
                <w:sz w:val="18"/>
                <w:szCs w:val="18"/>
              </w:rPr>
              <w:t xml:space="preserve">Stockouts prevented via early reorder flags vs. baseline</w:t>
            </w:r>
          </w:p>
        </w:tc>
        <w:tc>
          <w:tcPr>
            <w:tcW w:type="dxa" w:w="2700"/>
            <w:tcMar>
              <w:top w:type="dxa" w:w="80"/>
              <w:left w:type="dxa" w:w="100"/>
              <w:bottom w:type="dxa" w:w="80"/>
              <w:right w:type="dxa" w:w="100"/>
            </w:tcMar>
          </w:tcPr>
          <w:p>
            <w:r>
              <w:rPr>
                <w:b w:val="false"/>
                <w:bCs w:val="false"/>
                <w:color w:val="000000"/>
                <w:sz w:val="18"/>
                <w:szCs w:val="18"/>
              </w:rPr>
              <w:t xml:space="preserve">20% reduction quarter-over-quarter</w:t>
            </w:r>
          </w:p>
        </w:tc>
      </w:tr>
      <w:tr>
        <w:tc>
          <w:tcPr>
            <w:tcW w:type="dxa" w:w="3200"/>
            <w:tcMar>
              <w:top w:type="dxa" w:w="80"/>
              <w:left w:type="dxa" w:w="100"/>
              <w:bottom w:type="dxa" w:w="80"/>
              <w:right w:type="dxa" w:w="100"/>
            </w:tcMar>
          </w:tcPr>
          <w:p>
            <w:r>
              <w:rPr>
                <w:b w:val="false"/>
                <w:bCs w:val="false"/>
                <w:color w:val="000000"/>
                <w:sz w:val="18"/>
                <w:szCs w:val="18"/>
              </w:rPr>
              <w:t xml:space="preserve">Overdue PO cycle time</w:t>
            </w:r>
          </w:p>
        </w:tc>
        <w:tc>
          <w:tcPr>
            <w:tcW w:type="dxa" w:w="3300"/>
            <w:tcMar>
              <w:top w:type="dxa" w:w="80"/>
              <w:left w:type="dxa" w:w="100"/>
              <w:bottom w:type="dxa" w:w="80"/>
              <w:right w:type="dxa" w:w="100"/>
            </w:tcMar>
          </w:tcPr>
          <w:p>
            <w:r>
              <w:rPr>
                <w:b w:val="false"/>
                <w:bCs w:val="false"/>
                <w:color w:val="000000"/>
                <w:sz w:val="18"/>
                <w:szCs w:val="18"/>
              </w:rPr>
              <w:t xml:space="preserve">Avg. days a PO stays overdue after being flagged</w:t>
            </w:r>
          </w:p>
        </w:tc>
        <w:tc>
          <w:tcPr>
            <w:tcW w:type="dxa" w:w="2700"/>
            <w:tcMar>
              <w:top w:type="dxa" w:w="80"/>
              <w:left w:type="dxa" w:w="100"/>
              <w:bottom w:type="dxa" w:w="80"/>
              <w:right w:type="dxa" w:w="100"/>
            </w:tcMar>
          </w:tcPr>
          <w:p>
            <w:r>
              <w:rPr>
                <w:b w:val="false"/>
                <w:bCs w:val="false"/>
                <w:color w:val="000000"/>
                <w:sz w:val="18"/>
                <w:szCs w:val="18"/>
              </w:rPr>
              <w:t xml:space="preserve">Reduced by 30%</w:t>
            </w:r>
          </w:p>
        </w:tc>
      </w:tr>
      <w:tr>
        <w:tc>
          <w:tcPr>
            <w:tcW w:type="dxa" w:w="3200"/>
            <w:tcMar>
              <w:top w:type="dxa" w:w="80"/>
              <w:left w:type="dxa" w:w="100"/>
              <w:bottom w:type="dxa" w:w="80"/>
              <w:right w:type="dxa" w:w="100"/>
            </w:tcMar>
          </w:tcPr>
          <w:p>
            <w:r>
              <w:rPr>
                <w:b w:val="false"/>
                <w:bCs w:val="false"/>
                <w:color w:val="000000"/>
                <w:sz w:val="18"/>
                <w:szCs w:val="18"/>
              </w:rPr>
              <w:t xml:space="preserve">AI answer groundedness</w:t>
            </w:r>
          </w:p>
        </w:tc>
        <w:tc>
          <w:tcPr>
            <w:tcW w:type="dxa" w:w="3300"/>
            <w:tcMar>
              <w:top w:type="dxa" w:w="80"/>
              <w:left w:type="dxa" w:w="100"/>
              <w:bottom w:type="dxa" w:w="80"/>
              <w:right w:type="dxa" w:w="100"/>
            </w:tcMar>
          </w:tcPr>
          <w:p>
            <w:r>
              <w:rPr>
                <w:b w:val="false"/>
                <w:bCs w:val="false"/>
                <w:color w:val="000000"/>
                <w:sz w:val="18"/>
                <w:szCs w:val="18"/>
              </w:rPr>
              <w:t xml:space="preserve">% of chat answers traceable to supplied data (spot audit)</w:t>
            </w:r>
          </w:p>
        </w:tc>
        <w:tc>
          <w:tcPr>
            <w:tcW w:type="dxa" w:w="2700"/>
            <w:tcMar>
              <w:top w:type="dxa" w:w="80"/>
              <w:left w:type="dxa" w:w="100"/>
              <w:bottom w:type="dxa" w:w="80"/>
              <w:right w:type="dxa" w:w="100"/>
            </w:tcMar>
          </w:tcPr>
          <w:p>
            <w:r>
              <w:rPr>
                <w:b w:val="false"/>
                <w:bCs w:val="false"/>
                <w:color w:val="000000"/>
                <w:sz w:val="18"/>
                <w:szCs w:val="18"/>
              </w:rPr>
              <w:t xml:space="preserve">100%</w:t>
            </w:r>
          </w:p>
        </w:tc>
      </w:tr>
    </w:tbl>
    <w:p>
      <w:pPr>
        <w:pStyle w:val="Heading1"/>
        <w:spacing w:after="160" w:before="320"/>
      </w:pPr>
      <w:r>
        <w:t xml:space="preserve">8. Risks &amp; Mitigations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c>
          <w:tcPr>
            <w:tcW w:type="dxa" w:w="2600"/>
            <w:shd w:fill="1F4E5F" w:val="clear"/>
            <w:tcMar>
              <w:top w:type="dxa" w:w="80"/>
              <w:left w:type="dxa" w:w="100"/>
              <w:bottom w:type="dxa" w:w="80"/>
              <w:right w:type="dxa" w:w="100"/>
            </w:tcMar>
          </w:tcPr>
          <w:p>
            <w:r>
              <w:rPr>
                <w:b/>
                <w:bCs/>
                <w:color w:val="FFFFFF"/>
                <w:sz w:val="20"/>
                <w:szCs w:val="20"/>
              </w:rPr>
              <w:t xml:space="preserve">Risk</w:t>
            </w:r>
          </w:p>
        </w:tc>
        <w:tc>
          <w:tcPr>
            <w:tcW w:type="dxa" w:w="3300"/>
            <w:shd w:fill="1F4E5F" w:val="clear"/>
            <w:tcMar>
              <w:top w:type="dxa" w:w="80"/>
              <w:left w:type="dxa" w:w="100"/>
              <w:bottom w:type="dxa" w:w="80"/>
              <w:right w:type="dxa" w:w="100"/>
            </w:tcMar>
          </w:tcPr>
          <w:p>
            <w:r>
              <w:rPr>
                <w:b/>
                <w:bCs/>
                <w:color w:val="FFFFFF"/>
                <w:sz w:val="20"/>
                <w:szCs w:val="20"/>
              </w:rPr>
              <w:t xml:space="preserve">Why it matters</w:t>
            </w:r>
          </w:p>
        </w:tc>
        <w:tc>
          <w:tcPr>
            <w:tcW w:type="dxa" w:w="3300"/>
            <w:shd w:fill="1F4E5F" w:val="clear"/>
            <w:tcMar>
              <w:top w:type="dxa" w:w="80"/>
              <w:left w:type="dxa" w:w="100"/>
              <w:bottom w:type="dxa" w:w="80"/>
              <w:right w:type="dxa" w:w="100"/>
            </w:tcMar>
          </w:tcPr>
          <w:p>
            <w:r>
              <w:rPr>
                <w:b/>
                <w:bCs/>
                <w:color w:val="FFFFFF"/>
                <w:sz w:val="20"/>
                <w:szCs w:val="20"/>
              </w:rPr>
              <w:t xml:space="preserve">Mitigation</w:t>
            </w:r>
          </w:p>
        </w:tc>
      </w:tr>
      <w:tr>
        <w:tc>
          <w:tcPr>
            <w:tcW w:type="dxa" w:w="2600"/>
            <w:tcMar>
              <w:top w:type="dxa" w:w="80"/>
              <w:left w:type="dxa" w:w="100"/>
              <w:bottom w:type="dxa" w:w="80"/>
              <w:right w:type="dxa" w:w="100"/>
            </w:tcMar>
          </w:tcPr>
          <w:p>
            <w:r>
              <w:rPr>
                <w:b w:val="false"/>
                <w:bCs w:val="false"/>
                <w:color w:val="000000"/>
                <w:sz w:val="18"/>
                <w:szCs w:val="18"/>
              </w:rPr>
              <w:t xml:space="preserve">AI hallucinating figures</w:t>
            </w:r>
          </w:p>
        </w:tc>
        <w:tc>
          <w:tcPr>
            <w:tcW w:type="dxa" w:w="3300"/>
            <w:tcMar>
              <w:top w:type="dxa" w:w="80"/>
              <w:left w:type="dxa" w:w="100"/>
              <w:bottom w:type="dxa" w:w="80"/>
              <w:right w:type="dxa" w:w="100"/>
            </w:tcMar>
          </w:tcPr>
          <w:p>
            <w:r>
              <w:rPr>
                <w:b w:val="false"/>
                <w:bCs w:val="false"/>
                <w:color w:val="000000"/>
                <w:sz w:val="18"/>
                <w:szCs w:val="18"/>
              </w:rPr>
              <w:t xml:space="preserve">A wrong number in a procurement briefing can trigger a bad real decision</w:t>
            </w:r>
          </w:p>
        </w:tc>
        <w:tc>
          <w:tcPr>
            <w:tcW w:type="dxa" w:w="3300"/>
            <w:tcMar>
              <w:top w:type="dxa" w:w="80"/>
              <w:left w:type="dxa" w:w="100"/>
              <w:bottom w:type="dxa" w:w="80"/>
              <w:right w:type="dxa" w:w="100"/>
            </w:tcMar>
          </w:tcPr>
          <w:p>
            <w:r>
              <w:rPr>
                <w:b w:val="false"/>
                <w:bCs w:val="false"/>
                <w:color w:val="000000"/>
                <w:sz w:val="18"/>
                <w:szCs w:val="18"/>
              </w:rPr>
              <w:t xml:space="preserve">System prompt restricts the model to the supplied data table only; UI shows the raw ranked table alongside every AI answer for verification</w:t>
            </w:r>
          </w:p>
        </w:tc>
      </w:tr>
      <w:tr>
        <w:tc>
          <w:tcPr>
            <w:tcW w:type="dxa" w:w="2600"/>
            <w:tcMar>
              <w:top w:type="dxa" w:w="80"/>
              <w:left w:type="dxa" w:w="100"/>
              <w:bottom w:type="dxa" w:w="80"/>
              <w:right w:type="dxa" w:w="100"/>
            </w:tcMar>
          </w:tcPr>
          <w:p>
            <w:r>
              <w:rPr>
                <w:b w:val="false"/>
                <w:bCs w:val="false"/>
                <w:color w:val="000000"/>
                <w:sz w:val="18"/>
                <w:szCs w:val="18"/>
              </w:rPr>
              <w:t xml:space="preserve">Stale or broken Sheet link</w:t>
            </w:r>
          </w:p>
        </w:tc>
        <w:tc>
          <w:tcPr>
            <w:tcW w:type="dxa" w:w="3300"/>
            <w:tcMar>
              <w:top w:type="dxa" w:w="80"/>
              <w:left w:type="dxa" w:w="100"/>
              <w:bottom w:type="dxa" w:w="80"/>
              <w:right w:type="dxa" w:w="100"/>
            </w:tcMar>
          </w:tcPr>
          <w:p>
            <w:r>
              <w:rPr>
                <w:b w:val="false"/>
                <w:bCs w:val="false"/>
                <w:color w:val="000000"/>
                <w:sz w:val="18"/>
                <w:szCs w:val="18"/>
              </w:rPr>
              <w:t xml:space="preserve">Decisions made on outdated data</w:t>
            </w:r>
          </w:p>
        </w:tc>
        <w:tc>
          <w:tcPr>
            <w:tcW w:type="dxa" w:w="3300"/>
            <w:tcMar>
              <w:top w:type="dxa" w:w="80"/>
              <w:left w:type="dxa" w:w="100"/>
              <w:bottom w:type="dxa" w:w="80"/>
              <w:right w:type="dxa" w:w="100"/>
            </w:tcMar>
          </w:tcPr>
          <w:p>
            <w:r>
              <w:rPr>
                <w:b w:val="false"/>
                <w:bCs w:val="false"/>
                <w:color w:val="000000"/>
                <w:sz w:val="18"/>
                <w:szCs w:val="18"/>
              </w:rPr>
              <w:t xml:space="preserve">5-minute cache TTL, manual refresh button, and a visible fallback to sample data with a warning if the fetch fails</w:t>
            </w:r>
          </w:p>
        </w:tc>
      </w:tr>
      <w:tr>
        <w:tc>
          <w:tcPr>
            <w:tcW w:type="dxa" w:w="2600"/>
            <w:tcMar>
              <w:top w:type="dxa" w:w="80"/>
              <w:left w:type="dxa" w:w="100"/>
              <w:bottom w:type="dxa" w:w="80"/>
              <w:right w:type="dxa" w:w="100"/>
            </w:tcMar>
          </w:tcPr>
          <w:p>
            <w:r>
              <w:rPr>
                <w:b w:val="false"/>
                <w:bCs w:val="false"/>
                <w:color w:val="000000"/>
                <w:sz w:val="18"/>
                <w:szCs w:val="18"/>
              </w:rPr>
              <w:t xml:space="preserve">Over-reliance on AI narrative</w:t>
            </w:r>
          </w:p>
        </w:tc>
        <w:tc>
          <w:tcPr>
            <w:tcW w:type="dxa" w:w="3300"/>
            <w:tcMar>
              <w:top w:type="dxa" w:w="80"/>
              <w:left w:type="dxa" w:w="100"/>
              <w:bottom w:type="dxa" w:w="80"/>
              <w:right w:type="dxa" w:w="100"/>
            </w:tcMar>
          </w:tcPr>
          <w:p>
            <w:r>
              <w:rPr>
                <w:b w:val="false"/>
                <w:bCs w:val="false"/>
                <w:color w:val="000000"/>
                <w:sz w:val="18"/>
                <w:szCs w:val="18"/>
              </w:rPr>
              <w:t xml:space="preserve">Users stop checking underlying data</w:t>
            </w:r>
          </w:p>
        </w:tc>
        <w:tc>
          <w:tcPr>
            <w:tcW w:type="dxa" w:w="3300"/>
            <w:tcMar>
              <w:top w:type="dxa" w:w="80"/>
              <w:left w:type="dxa" w:w="100"/>
              <w:bottom w:type="dxa" w:w="80"/>
              <w:right w:type="dxa" w:w="100"/>
            </w:tcMar>
          </w:tcPr>
          <w:p>
            <w:r>
              <w:rPr>
                <w:b w:val="false"/>
                <w:bCs w:val="false"/>
                <w:color w:val="000000"/>
                <w:sz w:val="18"/>
                <w:szCs w:val="18"/>
              </w:rPr>
              <w:t xml:space="preserve">Briefing is a summary layer only — full ranked signal table and source tables are always shown, not hidden</w:t>
            </w:r>
          </w:p>
        </w:tc>
      </w:tr>
      <w:tr>
        <w:tc>
          <w:tcPr>
            <w:tcW w:type="dxa" w:w="2600"/>
            <w:tcMar>
              <w:top w:type="dxa" w:w="80"/>
              <w:left w:type="dxa" w:w="100"/>
              <w:bottom w:type="dxa" w:w="80"/>
              <w:right w:type="dxa" w:w="100"/>
            </w:tcMar>
          </w:tcPr>
          <w:p>
            <w:r>
              <w:rPr>
                <w:b w:val="false"/>
                <w:bCs w:val="false"/>
                <w:color w:val="000000"/>
                <w:sz w:val="18"/>
                <w:szCs w:val="18"/>
              </w:rPr>
              <w:t xml:space="preserve">Sensitive data exposure</w:t>
            </w:r>
          </w:p>
        </w:tc>
        <w:tc>
          <w:tcPr>
            <w:tcW w:type="dxa" w:w="3300"/>
            <w:tcMar>
              <w:top w:type="dxa" w:w="80"/>
              <w:left w:type="dxa" w:w="100"/>
              <w:bottom w:type="dxa" w:w="80"/>
              <w:right w:type="dxa" w:w="100"/>
            </w:tcMar>
          </w:tcPr>
          <w:p>
            <w:r>
              <w:rPr>
                <w:b w:val="false"/>
                <w:bCs w:val="false"/>
                <w:color w:val="000000"/>
                <w:sz w:val="18"/>
                <w:szCs w:val="18"/>
              </w:rPr>
              <w:t xml:space="preserve">Real PO/vendor data may be confidential</w:t>
            </w:r>
          </w:p>
        </w:tc>
        <w:tc>
          <w:tcPr>
            <w:tcW w:type="dxa" w:w="3300"/>
            <w:tcMar>
              <w:top w:type="dxa" w:w="80"/>
              <w:left w:type="dxa" w:w="100"/>
              <w:bottom w:type="dxa" w:w="80"/>
              <w:right w:type="dxa" w:w="100"/>
            </w:tcMar>
          </w:tcPr>
          <w:p>
            <w:r>
              <w:rPr>
                <w:b w:val="false"/>
                <w:bCs w:val="false"/>
                <w:color w:val="000000"/>
                <w:sz w:val="18"/>
                <w:szCs w:val="18"/>
              </w:rPr>
              <w:t xml:space="preserve">Prototype ships with synthetic data only; production version would connect via authenticated ERP API, not a public sheet</w:t>
            </w:r>
          </w:p>
        </w:tc>
      </w:tr>
    </w:tbl>
    <w:p>
      <w:pPr>
        <w:pStyle w:val="Heading1"/>
        <w:spacing w:after="160" w:before="320"/>
      </w:pPr>
      <w:r>
        <w:t xml:space="preserve">9. Roadmap</w:t>
      </w:r>
    </w:p>
    <w:p>
      <w:pPr>
        <w:pStyle w:val="ListParagraph"/>
        <w:numPr>
          <w:ilvl w:val="0"/>
          <w:numId w:val="2"/>
        </w:numPr>
        <w:spacing w:after="60"/>
      </w:pPr>
      <w:r>
        <w:rPr>
          <w:b/>
          <w:bCs/>
        </w:rPr>
        <w:t xml:space="preserve">Phase 2 — Live ERP integration:</w:t>
      </w:r>
      <w:r>
        <w:t xml:space="preserve"> Replace Google Sheets with a direct, authenticated connector to the ERP's procurement/inventory/vendor modules.</w:t>
      </w:r>
    </w:p>
    <w:p>
      <w:pPr>
        <w:pStyle w:val="ListParagraph"/>
        <w:numPr>
          <w:ilvl w:val="0"/>
          <w:numId w:val="2"/>
        </w:numPr>
        <w:spacing w:after="60"/>
      </w:pPr>
      <w:r>
        <w:rPr>
          <w:b/>
          <w:bCs/>
        </w:rPr>
        <w:t xml:space="preserve">Phase 2 — Proactive alerts:</w:t>
      </w:r>
      <w:r>
        <w:t xml:space="preserve"> Push high-severity alerts to email/Slack instead of requiring the user to open the dashboard.</w:t>
      </w:r>
    </w:p>
    <w:p>
      <w:pPr>
        <w:pStyle w:val="ListParagraph"/>
        <w:numPr>
          <w:ilvl w:val="0"/>
          <w:numId w:val="2"/>
        </w:numPr>
        <w:spacing w:after="60"/>
      </w:pPr>
      <w:r>
        <w:rPr>
          <w:b/>
          <w:bCs/>
        </w:rPr>
        <w:t xml:space="preserve">Phase 3 — Action-taking (human-in-the-loop):</w:t>
      </w:r>
      <w:r>
        <w:t xml:space="preserve"> Let the assistant draft the escalation email or expedited-PO request, pending user approval.</w:t>
      </w:r>
    </w:p>
    <w:p>
      <w:pPr>
        <w:pStyle w:val="ListParagraph"/>
        <w:numPr>
          <w:ilvl w:val="0"/>
          <w:numId w:val="2"/>
        </w:numPr>
        <w:spacing w:after="60"/>
      </w:pPr>
      <w:r>
        <w:rPr>
          <w:b/>
          <w:bCs/>
        </w:rPr>
        <w:t xml:space="preserve">Phase 3 — Expand flow coverage:</w:t>
      </w:r>
      <w:r>
        <w:t xml:space="preserve"> Extend the same pattern to order-to-cash (overdue receivables, credit risk) using the identical architecture.</w:t>
      </w:r>
    </w:p>
    <w:p>
      <w:pPr>
        <w:pStyle w:val="Heading1"/>
        <w:spacing w:after="160" w:before="320"/>
      </w:pPr>
      <w:r>
        <w:t xml:space="preserve">10. Prototype Deliverables</w:t>
      </w:r>
    </w:p>
    <w:p>
      <w:pPr>
        <w:pStyle w:val="ListParagraph"/>
        <w:numPr>
          <w:ilvl w:val="0"/>
          <w:numId w:val="2"/>
        </w:numPr>
        <w:spacing w:after="60"/>
      </w:pPr>
      <w:r>
        <w:t xml:space="preserve">Streamlit app (app.py) with sidebar-configurable Google Sheets data sources and optional Anthropic API key.</w:t>
      </w:r>
    </w:p>
    <w:p>
      <w:pPr>
        <w:pStyle w:val="ListParagraph"/>
        <w:numPr>
          <w:ilvl w:val="0"/>
          <w:numId w:val="2"/>
        </w:numPr>
        <w:spacing w:after="60"/>
      </w:pPr>
      <w:r>
        <w:t xml:space="preserve">Synthetic sample dataset (3 CSVs) covering Purchase Orders, Inventory, and Vendors.</w:t>
      </w:r>
    </w:p>
    <w:p>
      <w:pPr>
        <w:pStyle w:val="ListParagraph"/>
        <w:numPr>
          <w:ilvl w:val="0"/>
          <w:numId w:val="2"/>
        </w:numPr>
        <w:spacing w:after="60"/>
      </w:pPr>
      <w:r>
        <w:t xml:space="preserve">This design document and a 100-word summary of the approach.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5F"/>
      <w:sz w:val="32"/>
      <w:szCs w:val="32"/>
    </w:rPr>
  </w:style>
  <w:style w:type="paragraph" w:styleId="Heading2">
    <w:name w:val="Heading 2"/>
    <w:basedOn w:val="Normal"/>
    <w:next w:val="Normal"/>
    <w:qFormat/>
    <w:rPr>
      <w:rFonts w:ascii="Calibri" w:cs="Calibri" w:eastAsia="Calibri" w:hAnsi="Calibri"/>
      <w:b/>
      <w:bCs/>
      <w:color w:val="1F4E5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2026-09-09T06:54:14.411Z</dcterms:created>
  <dcterms:modified xsi:type="dcterms:W3CDTF">2026-09-09T06:54:14.422Z</dcterms:modified>
</cp:coreProperties>
</file>

<file path=docProps/custom.xml><?xml version="1.0" encoding="utf-8"?>
<Properties xmlns="http://schemas.openxmlformats.org/officeDocument/2006/custom-properties" xmlns:vt="http://schemas.openxmlformats.org/officeDocument/2006/docPropsVTypes"/>
</file>