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56E786">
      <w:pPr>
        <w:spacing w:before="320"/>
        <w:ind w:firstLine="3842" w:firstLineChars="800"/>
        <w:jc w:val="both"/>
        <w:rPr>
          <w:rFonts w:ascii="Cambria" w:hAnsi="Cambria"/>
          <w:b/>
          <w:color w:val="2F5478"/>
          <w:sz w:val="48"/>
        </w:rPr>
      </w:pPr>
      <w:r>
        <w:rPr>
          <w:rFonts w:ascii="Cambria" w:hAnsi="Cambria"/>
          <w:b/>
          <w:color w:val="2F5478"/>
          <w:sz w:val="48"/>
        </w:rPr>
        <w:t>Day 16</w:t>
      </w:r>
    </w:p>
    <w:p w14:paraId="46F55995">
      <w:pPr>
        <w:spacing w:before="320"/>
        <w:ind w:firstLine="3122" w:firstLineChars="650"/>
        <w:jc w:val="both"/>
      </w:pPr>
      <w:r>
        <w:rPr>
          <w:rFonts w:ascii="Cambria" w:hAnsi="Cambria"/>
          <w:b/>
          <w:color w:val="2F5478"/>
          <w:sz w:val="48"/>
        </w:rPr>
        <w:t>Security Testing</w:t>
      </w:r>
    </w:p>
    <w:p w14:paraId="62632C24">
      <w:pPr>
        <w:spacing w:after="20"/>
      </w:pPr>
    </w:p>
    <w:p w14:paraId="516FD50E">
      <w:pPr>
        <w:pStyle w:val="2"/>
      </w:pPr>
      <w:r>
        <w:t>Learning Objectives</w:t>
      </w:r>
    </w:p>
    <w:p w14:paraId="1DD7FDA7">
      <w:pPr>
        <w:pStyle w:val="23"/>
      </w:pPr>
      <w:r>
        <w:t>Understand the purpose and scope of application security testing.</w:t>
      </w:r>
    </w:p>
    <w:p w14:paraId="5F099680">
      <w:pPr>
        <w:pStyle w:val="23"/>
      </w:pPr>
      <w:r>
        <w:t>Recognize the OWASP Top 10 (2021) risk categories.</w:t>
      </w:r>
    </w:p>
    <w:p w14:paraId="7C2945DE">
      <w:pPr>
        <w:pStyle w:val="23"/>
      </w:pPr>
      <w:r>
        <w:t>Understand common risks such as injection, XSS, CSRF, and broken access control.</w:t>
      </w:r>
    </w:p>
    <w:p w14:paraId="534C621F">
      <w:pPr>
        <w:pStyle w:val="23"/>
      </w:pPr>
      <w:r>
        <w:t>Write and execute basic security test cases using safe test data.</w:t>
      </w:r>
    </w:p>
    <w:p w14:paraId="1047B110">
      <w:pPr>
        <w:pStyle w:val="23"/>
      </w:pPr>
      <w:r>
        <w:t>Use OWASP ZAP for introductory passive scanning and alert review.</w:t>
      </w:r>
    </w:p>
    <w:p w14:paraId="6E56E8BC">
      <w:pPr>
        <w:pStyle w:val="23"/>
      </w:pPr>
      <w:r>
        <w:t>Document findings with evidence, impact, and remediation.</w:t>
      </w:r>
    </w:p>
    <w:p w14:paraId="1045D378">
      <w:pPr>
        <w:pStyle w:val="2"/>
      </w:pPr>
      <w:r>
        <w:t>1. Project Overview</w:t>
      </w:r>
    </w:p>
    <w:p w14:paraId="72A9B8DE">
      <w:r>
        <w:t>Security testing checks whether an application protects its users, data, and functions from unauthorized access or misuse. It complements functional testing: an application must work correctly and protect the information it handles.</w:t>
      </w:r>
    </w:p>
    <w:p w14:paraId="773C527B">
      <w:pPr>
        <w:spacing w:before="100" w:after="60"/>
        <w:jc w:val="both"/>
      </w:pPr>
      <w:r>
        <w:rPr>
          <w:b/>
          <w:bCs/>
        </w:rPr>
        <w:t>Execution integrity</w:t>
      </w:r>
      <w:r>
        <w:t>: use a local training application or a target for which explicit written authorization has been granted. Do not treat scanner alerts as confirmed vulnerabilities until they have been reviewed and validated.</w:t>
      </w:r>
    </w:p>
    <w:p w14:paraId="055CD7A0">
      <w:pPr>
        <w:pStyle w:val="2"/>
      </w:pPr>
      <w:r>
        <w:t>2. Security Testing Areas</w:t>
      </w:r>
    </w:p>
    <w:tbl>
      <w:tblPr>
        <w:tblStyle w:val="12"/>
        <w:tblW w:w="0" w:type="auto"/>
        <w:jc w:val="center"/>
        <w:tblBorders>
          <w:top w:val="single" w:color="9DB4C8" w:sz="8" w:space="0"/>
          <w:left w:val="single" w:color="9DB4C8" w:sz="8" w:space="0"/>
          <w:bottom w:val="single" w:color="9DB4C8" w:sz="8" w:space="0"/>
          <w:right w:val="single" w:color="9DB4C8" w:sz="8" w:space="0"/>
          <w:insideH w:val="single" w:color="9DB4C8" w:sz="8" w:space="0"/>
          <w:insideV w:val="single" w:color="9DB4C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1"/>
        <w:gridCol w:w="5141"/>
      </w:tblGrid>
      <w:tr w14:paraId="01917E3A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shd w:val="clear" w:color="auto" w:fill="D7E5F2"/>
            <w:vAlign w:val="center"/>
          </w:tcPr>
          <w:p w14:paraId="272F5DBA">
            <w:pPr>
              <w:spacing w:after="20"/>
            </w:pPr>
            <w:r>
              <w:rPr>
                <w:rFonts w:ascii="Cambria" w:hAnsi="Cambria"/>
                <w:b/>
                <w:sz w:val="18"/>
              </w:rPr>
              <w:t>Area</w:t>
            </w:r>
          </w:p>
        </w:tc>
        <w:tc>
          <w:tcPr>
            <w:tcW w:w="5141" w:type="dxa"/>
            <w:shd w:val="clear" w:color="auto" w:fill="D7E5F2"/>
            <w:vAlign w:val="center"/>
          </w:tcPr>
          <w:p w14:paraId="4727E367">
            <w:pPr>
              <w:spacing w:after="20"/>
            </w:pPr>
            <w:r>
              <w:rPr>
                <w:rFonts w:ascii="Cambria" w:hAnsi="Cambria"/>
                <w:b/>
                <w:sz w:val="18"/>
              </w:rPr>
              <w:t>What the tester checks</w:t>
            </w:r>
          </w:p>
        </w:tc>
      </w:tr>
      <w:tr w14:paraId="3FD7887E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center"/>
          </w:tcPr>
          <w:p w14:paraId="75A6A53F">
            <w:pPr>
              <w:spacing w:after="20"/>
            </w:pPr>
            <w:r>
              <w:rPr>
                <w:rFonts w:ascii="Cambria" w:hAnsi="Cambria"/>
                <w:b/>
                <w:sz w:val="17"/>
              </w:rPr>
              <w:t>Authentication</w:t>
            </w:r>
          </w:p>
        </w:tc>
        <w:tc>
          <w:tcPr>
            <w:tcW w:w="5141" w:type="dxa"/>
            <w:vAlign w:val="center"/>
          </w:tcPr>
          <w:p w14:paraId="15FEFA83">
            <w:pPr>
              <w:spacing w:after="20"/>
            </w:pPr>
            <w:r>
              <w:rPr>
                <w:rFonts w:ascii="Cambria" w:hAnsi="Cambria"/>
                <w:b w:val="0"/>
                <w:sz w:val="17"/>
              </w:rPr>
              <w:t>Login, password handling, account recovery, and logout.</w:t>
            </w:r>
          </w:p>
        </w:tc>
      </w:tr>
      <w:tr w14:paraId="04EA31B8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center"/>
          </w:tcPr>
          <w:p w14:paraId="432613C4">
            <w:pPr>
              <w:spacing w:after="20"/>
            </w:pPr>
            <w:r>
              <w:rPr>
                <w:rFonts w:ascii="Cambria" w:hAnsi="Cambria"/>
                <w:b/>
                <w:sz w:val="17"/>
              </w:rPr>
              <w:t>Authorization</w:t>
            </w:r>
          </w:p>
        </w:tc>
        <w:tc>
          <w:tcPr>
            <w:tcW w:w="5141" w:type="dxa"/>
            <w:vAlign w:val="center"/>
          </w:tcPr>
          <w:p w14:paraId="2F897278">
            <w:pPr>
              <w:spacing w:after="20"/>
            </w:pPr>
            <w:r>
              <w:rPr>
                <w:rFonts w:ascii="Cambria" w:hAnsi="Cambria"/>
                <w:b w:val="0"/>
                <w:sz w:val="17"/>
              </w:rPr>
              <w:t>Whether users can access only permitted pages, records, and actions.</w:t>
            </w:r>
          </w:p>
        </w:tc>
      </w:tr>
      <w:tr w14:paraId="636B59FF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center"/>
          </w:tcPr>
          <w:p w14:paraId="2106A170">
            <w:pPr>
              <w:spacing w:after="20"/>
            </w:pPr>
            <w:r>
              <w:rPr>
                <w:rFonts w:ascii="Cambria" w:hAnsi="Cambria"/>
                <w:b/>
                <w:sz w:val="17"/>
              </w:rPr>
              <w:t>Input validation</w:t>
            </w:r>
          </w:p>
        </w:tc>
        <w:tc>
          <w:tcPr>
            <w:tcW w:w="5141" w:type="dxa"/>
            <w:vAlign w:val="center"/>
          </w:tcPr>
          <w:p w14:paraId="322E94F7">
            <w:pPr>
              <w:spacing w:after="20"/>
            </w:pPr>
            <w:r>
              <w:rPr>
                <w:rFonts w:ascii="Cambria" w:hAnsi="Cambria"/>
                <w:b w:val="0"/>
                <w:sz w:val="17"/>
              </w:rPr>
              <w:t>Whether unexpected input is safely handled.</w:t>
            </w:r>
          </w:p>
        </w:tc>
      </w:tr>
      <w:tr w14:paraId="342EA37D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center"/>
          </w:tcPr>
          <w:p w14:paraId="70592E0D">
            <w:pPr>
              <w:spacing w:after="20"/>
            </w:pPr>
            <w:r>
              <w:rPr>
                <w:rFonts w:ascii="Cambria" w:hAnsi="Cambria"/>
                <w:b/>
                <w:sz w:val="17"/>
              </w:rPr>
              <w:t>Session management</w:t>
            </w:r>
          </w:p>
        </w:tc>
        <w:tc>
          <w:tcPr>
            <w:tcW w:w="5141" w:type="dxa"/>
            <w:vAlign w:val="center"/>
          </w:tcPr>
          <w:p w14:paraId="5574F6E8">
            <w:pPr>
              <w:spacing w:after="20"/>
            </w:pPr>
            <w:r>
              <w:rPr>
                <w:rFonts w:ascii="Cambria" w:hAnsi="Cambria"/>
                <w:b w:val="0"/>
                <w:sz w:val="17"/>
              </w:rPr>
              <w:t>Session expiry, logout behavior, and cookie protections.</w:t>
            </w:r>
          </w:p>
        </w:tc>
      </w:tr>
      <w:tr w14:paraId="0B78830E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center"/>
          </w:tcPr>
          <w:p w14:paraId="6DABECCA">
            <w:pPr>
              <w:spacing w:after="20"/>
            </w:pPr>
            <w:r>
              <w:rPr>
                <w:rFonts w:ascii="Cambria" w:hAnsi="Cambria"/>
                <w:b/>
                <w:sz w:val="17"/>
              </w:rPr>
              <w:t>Data protection</w:t>
            </w:r>
          </w:p>
        </w:tc>
        <w:tc>
          <w:tcPr>
            <w:tcW w:w="5141" w:type="dxa"/>
            <w:vAlign w:val="center"/>
          </w:tcPr>
          <w:p w14:paraId="00B5804B">
            <w:pPr>
              <w:spacing w:after="20"/>
            </w:pPr>
            <w:r>
              <w:rPr>
                <w:rFonts w:ascii="Cambria" w:hAnsi="Cambria"/>
                <w:b w:val="0"/>
                <w:sz w:val="17"/>
              </w:rPr>
              <w:t>HTTPS, sensitive-data exposure, and safe error messages.</w:t>
            </w:r>
          </w:p>
        </w:tc>
      </w:tr>
      <w:tr w14:paraId="360768C3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1" w:type="dxa"/>
            <w:vAlign w:val="center"/>
          </w:tcPr>
          <w:p w14:paraId="18817180">
            <w:pPr>
              <w:spacing w:after="20"/>
            </w:pPr>
            <w:r>
              <w:rPr>
                <w:rFonts w:ascii="Cambria" w:hAnsi="Cambria"/>
                <w:b/>
                <w:sz w:val="17"/>
              </w:rPr>
              <w:t>Configuration</w:t>
            </w:r>
          </w:p>
        </w:tc>
        <w:tc>
          <w:tcPr>
            <w:tcW w:w="5141" w:type="dxa"/>
            <w:vAlign w:val="center"/>
          </w:tcPr>
          <w:p w14:paraId="190A9573">
            <w:pPr>
              <w:spacing w:after="20"/>
            </w:pPr>
            <w:r>
              <w:rPr>
                <w:rFonts w:ascii="Cambria" w:hAnsi="Cambria"/>
                <w:b w:val="0"/>
                <w:sz w:val="17"/>
              </w:rPr>
              <w:t>Security headers, default settings, and exposed components.</w:t>
            </w:r>
          </w:p>
        </w:tc>
      </w:tr>
    </w:tbl>
    <w:p w14:paraId="1DCF1F6F">
      <w:r>
        <w:br w:type="page"/>
      </w:r>
    </w:p>
    <w:p w14:paraId="249B08C9">
      <w:pPr>
        <w:pStyle w:val="2"/>
      </w:pPr>
      <w:r>
        <w:t xml:space="preserve">3. OWASP Top 10 </w:t>
      </w:r>
    </w:p>
    <w:p w14:paraId="193A9239">
      <w:r>
        <w:t>The OWASP Top 10 is an awareness document that identifies important web application security risk categories. Use it to guide risk-based test design; it is not a complete security testing checklist.</w:t>
      </w:r>
    </w:p>
    <w:tbl>
      <w:tblPr>
        <w:tblStyle w:val="12"/>
        <w:tblW w:w="0" w:type="auto"/>
        <w:jc w:val="center"/>
        <w:tblBorders>
          <w:top w:val="single" w:color="9DB4C8" w:sz="8" w:space="0"/>
          <w:left w:val="single" w:color="9DB4C8" w:sz="8" w:space="0"/>
          <w:bottom w:val="single" w:color="9DB4C8" w:sz="8" w:space="0"/>
          <w:right w:val="single" w:color="9DB4C8" w:sz="8" w:space="0"/>
          <w:insideH w:val="single" w:color="9DB4C8" w:sz="8" w:space="0"/>
          <w:insideV w:val="single" w:color="9DB4C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7"/>
        <w:gridCol w:w="3427"/>
        <w:gridCol w:w="3427"/>
      </w:tblGrid>
      <w:tr w14:paraId="7B131118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shd w:val="clear" w:color="auto" w:fill="D7E5F2"/>
            <w:vAlign w:val="center"/>
          </w:tcPr>
          <w:p w14:paraId="5C550A12">
            <w:pPr>
              <w:spacing w:after="20"/>
            </w:pPr>
            <w:r>
              <w:rPr>
                <w:rFonts w:ascii="Cambria" w:hAnsi="Cambria"/>
                <w:b/>
                <w:sz w:val="17"/>
              </w:rPr>
              <w:t>ID</w:t>
            </w:r>
          </w:p>
        </w:tc>
        <w:tc>
          <w:tcPr>
            <w:tcW w:w="3427" w:type="dxa"/>
            <w:shd w:val="clear" w:color="auto" w:fill="D7E5F2"/>
            <w:vAlign w:val="center"/>
          </w:tcPr>
          <w:p w14:paraId="45AC9D86">
            <w:pPr>
              <w:spacing w:after="20"/>
            </w:pPr>
            <w:r>
              <w:rPr>
                <w:rFonts w:ascii="Cambria" w:hAnsi="Cambria"/>
                <w:b/>
                <w:sz w:val="17"/>
              </w:rPr>
              <w:t>Category</w:t>
            </w:r>
          </w:p>
        </w:tc>
        <w:tc>
          <w:tcPr>
            <w:tcW w:w="3427" w:type="dxa"/>
            <w:shd w:val="clear" w:color="auto" w:fill="D7E5F2"/>
            <w:vAlign w:val="center"/>
          </w:tcPr>
          <w:p w14:paraId="5040EB69">
            <w:pPr>
              <w:spacing w:after="20"/>
            </w:pPr>
            <w:r>
              <w:rPr>
                <w:rFonts w:ascii="Cambria" w:hAnsi="Cambria"/>
                <w:b/>
                <w:sz w:val="17"/>
              </w:rPr>
              <w:t>Simple meaning</w:t>
            </w:r>
          </w:p>
        </w:tc>
      </w:tr>
      <w:tr w14:paraId="06910878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center"/>
          </w:tcPr>
          <w:p w14:paraId="6542D414">
            <w:pPr>
              <w:spacing w:after="20"/>
            </w:pPr>
            <w:r>
              <w:rPr>
                <w:rFonts w:ascii="Cambria" w:hAnsi="Cambria"/>
                <w:b/>
                <w:sz w:val="16"/>
              </w:rPr>
              <w:t>A01</w:t>
            </w:r>
          </w:p>
        </w:tc>
        <w:tc>
          <w:tcPr>
            <w:tcW w:w="3427" w:type="dxa"/>
            <w:vAlign w:val="center"/>
          </w:tcPr>
          <w:p w14:paraId="78B70396">
            <w:pPr>
              <w:spacing w:after="20"/>
            </w:pPr>
            <w:r>
              <w:rPr>
                <w:rFonts w:ascii="Cambria" w:hAnsi="Cambria"/>
                <w:b/>
                <w:sz w:val="16"/>
              </w:rPr>
              <w:t>Broken Access Control</w:t>
            </w:r>
          </w:p>
        </w:tc>
        <w:tc>
          <w:tcPr>
            <w:tcW w:w="3427" w:type="dxa"/>
            <w:vAlign w:val="center"/>
          </w:tcPr>
          <w:p w14:paraId="4DC58FA0">
            <w:pPr>
              <w:spacing w:after="20"/>
            </w:pPr>
            <w:r>
              <w:rPr>
                <w:rFonts w:ascii="Cambria" w:hAnsi="Cambria"/>
                <w:b w:val="0"/>
                <w:sz w:val="16"/>
              </w:rPr>
              <w:t>A user can access data or actions outside their permissions.</w:t>
            </w:r>
          </w:p>
        </w:tc>
      </w:tr>
      <w:tr w14:paraId="176EE506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center"/>
          </w:tcPr>
          <w:p w14:paraId="3F75BF36">
            <w:pPr>
              <w:spacing w:after="20"/>
            </w:pPr>
            <w:r>
              <w:rPr>
                <w:rFonts w:ascii="Cambria" w:hAnsi="Cambria"/>
                <w:b/>
                <w:sz w:val="16"/>
              </w:rPr>
              <w:t>A02</w:t>
            </w:r>
          </w:p>
        </w:tc>
        <w:tc>
          <w:tcPr>
            <w:tcW w:w="3427" w:type="dxa"/>
            <w:vAlign w:val="center"/>
          </w:tcPr>
          <w:p w14:paraId="5A4A0B53">
            <w:pPr>
              <w:spacing w:after="20"/>
            </w:pPr>
            <w:r>
              <w:rPr>
                <w:rFonts w:ascii="Cambria" w:hAnsi="Cambria"/>
                <w:b/>
                <w:sz w:val="16"/>
              </w:rPr>
              <w:t>Cryptographic Failures</w:t>
            </w:r>
          </w:p>
        </w:tc>
        <w:tc>
          <w:tcPr>
            <w:tcW w:w="3427" w:type="dxa"/>
            <w:vAlign w:val="center"/>
          </w:tcPr>
          <w:p w14:paraId="1A787AAD">
            <w:pPr>
              <w:spacing w:after="20"/>
            </w:pPr>
            <w:r>
              <w:rPr>
                <w:rFonts w:ascii="Cambria" w:hAnsi="Cambria"/>
                <w:b w:val="0"/>
                <w:sz w:val="16"/>
              </w:rPr>
              <w:t>Sensitive information is not adequately protected.</w:t>
            </w:r>
          </w:p>
        </w:tc>
      </w:tr>
      <w:tr w14:paraId="14C50E56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center"/>
          </w:tcPr>
          <w:p w14:paraId="7F57AA19">
            <w:pPr>
              <w:spacing w:after="20"/>
            </w:pPr>
            <w:r>
              <w:rPr>
                <w:rFonts w:ascii="Cambria" w:hAnsi="Cambria"/>
                <w:b/>
                <w:sz w:val="16"/>
              </w:rPr>
              <w:t>A03</w:t>
            </w:r>
          </w:p>
        </w:tc>
        <w:tc>
          <w:tcPr>
            <w:tcW w:w="3427" w:type="dxa"/>
            <w:vAlign w:val="center"/>
          </w:tcPr>
          <w:p w14:paraId="66238303">
            <w:pPr>
              <w:spacing w:after="20"/>
            </w:pPr>
            <w:r>
              <w:rPr>
                <w:rFonts w:ascii="Cambria" w:hAnsi="Cambria"/>
                <w:b/>
                <w:sz w:val="16"/>
              </w:rPr>
              <w:t>Injection</w:t>
            </w:r>
          </w:p>
        </w:tc>
        <w:tc>
          <w:tcPr>
            <w:tcW w:w="3427" w:type="dxa"/>
            <w:vAlign w:val="center"/>
          </w:tcPr>
          <w:p w14:paraId="7D4BE386">
            <w:pPr>
              <w:spacing w:after="20"/>
            </w:pPr>
            <w:r>
              <w:rPr>
                <w:rFonts w:ascii="Cambria" w:hAnsi="Cambria"/>
                <w:b w:val="0"/>
                <w:sz w:val="16"/>
              </w:rPr>
              <w:t>Untrusted input is interpreted as a command or query.</w:t>
            </w:r>
          </w:p>
        </w:tc>
      </w:tr>
      <w:tr w14:paraId="4B08CE59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center"/>
          </w:tcPr>
          <w:p w14:paraId="3A122CF7">
            <w:pPr>
              <w:spacing w:after="20"/>
            </w:pPr>
            <w:r>
              <w:rPr>
                <w:rFonts w:ascii="Cambria" w:hAnsi="Cambria"/>
                <w:b/>
                <w:sz w:val="16"/>
              </w:rPr>
              <w:t>A04</w:t>
            </w:r>
          </w:p>
        </w:tc>
        <w:tc>
          <w:tcPr>
            <w:tcW w:w="3427" w:type="dxa"/>
            <w:vAlign w:val="center"/>
          </w:tcPr>
          <w:p w14:paraId="1E2152A1">
            <w:pPr>
              <w:spacing w:after="20"/>
            </w:pPr>
            <w:r>
              <w:rPr>
                <w:rFonts w:ascii="Cambria" w:hAnsi="Cambria"/>
                <w:b/>
                <w:sz w:val="16"/>
              </w:rPr>
              <w:t>Insecure Design</w:t>
            </w:r>
          </w:p>
        </w:tc>
        <w:tc>
          <w:tcPr>
            <w:tcW w:w="3427" w:type="dxa"/>
            <w:vAlign w:val="center"/>
          </w:tcPr>
          <w:p w14:paraId="36424BAE">
            <w:pPr>
              <w:spacing w:after="20"/>
            </w:pPr>
            <w:r>
              <w:rPr>
                <w:rFonts w:ascii="Cambria" w:hAnsi="Cambria"/>
                <w:b w:val="0"/>
                <w:sz w:val="16"/>
              </w:rPr>
              <w:t>Security controls are missing or inadequate in the design.</w:t>
            </w:r>
          </w:p>
        </w:tc>
      </w:tr>
      <w:tr w14:paraId="1F944E4C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center"/>
          </w:tcPr>
          <w:p w14:paraId="0CBE887F">
            <w:pPr>
              <w:spacing w:after="20"/>
            </w:pPr>
            <w:r>
              <w:rPr>
                <w:rFonts w:ascii="Cambria" w:hAnsi="Cambria"/>
                <w:b/>
                <w:sz w:val="16"/>
              </w:rPr>
              <w:t>A05</w:t>
            </w:r>
          </w:p>
        </w:tc>
        <w:tc>
          <w:tcPr>
            <w:tcW w:w="3427" w:type="dxa"/>
            <w:vAlign w:val="center"/>
          </w:tcPr>
          <w:p w14:paraId="3E8A8463">
            <w:pPr>
              <w:spacing w:after="20"/>
            </w:pPr>
            <w:r>
              <w:rPr>
                <w:rFonts w:ascii="Cambria" w:hAnsi="Cambria"/>
                <w:b/>
                <w:sz w:val="16"/>
              </w:rPr>
              <w:t>Security Misconfiguration</w:t>
            </w:r>
          </w:p>
        </w:tc>
        <w:tc>
          <w:tcPr>
            <w:tcW w:w="3427" w:type="dxa"/>
            <w:vAlign w:val="center"/>
          </w:tcPr>
          <w:p w14:paraId="2A7E4570">
            <w:pPr>
              <w:spacing w:after="20"/>
            </w:pPr>
            <w:r>
              <w:rPr>
                <w:rFonts w:ascii="Cambria" w:hAnsi="Cambria"/>
                <w:b w:val="0"/>
                <w:sz w:val="16"/>
              </w:rPr>
              <w:t>Unsafe settings, defaults, or verbose errors expose the application.</w:t>
            </w:r>
          </w:p>
        </w:tc>
      </w:tr>
      <w:tr w14:paraId="43542600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center"/>
          </w:tcPr>
          <w:p w14:paraId="571E9C97">
            <w:pPr>
              <w:spacing w:after="20"/>
            </w:pPr>
            <w:r>
              <w:rPr>
                <w:rFonts w:ascii="Cambria" w:hAnsi="Cambria"/>
                <w:b/>
                <w:sz w:val="16"/>
              </w:rPr>
              <w:t>A06</w:t>
            </w:r>
          </w:p>
        </w:tc>
        <w:tc>
          <w:tcPr>
            <w:tcW w:w="3427" w:type="dxa"/>
            <w:vAlign w:val="center"/>
          </w:tcPr>
          <w:p w14:paraId="6D685A26">
            <w:pPr>
              <w:spacing w:after="20"/>
            </w:pPr>
            <w:r>
              <w:rPr>
                <w:rFonts w:ascii="Cambria" w:hAnsi="Cambria"/>
                <w:b/>
                <w:sz w:val="16"/>
              </w:rPr>
              <w:t>Vulnerable and Outdated Components</w:t>
            </w:r>
          </w:p>
        </w:tc>
        <w:tc>
          <w:tcPr>
            <w:tcW w:w="3427" w:type="dxa"/>
            <w:vAlign w:val="center"/>
          </w:tcPr>
          <w:p w14:paraId="0EC33818">
            <w:pPr>
              <w:spacing w:after="20"/>
            </w:pPr>
            <w:r>
              <w:rPr>
                <w:rFonts w:ascii="Cambria" w:hAnsi="Cambria"/>
                <w:b w:val="0"/>
                <w:sz w:val="16"/>
              </w:rPr>
              <w:t>A dependency contains a known security weakness.</w:t>
            </w:r>
          </w:p>
        </w:tc>
      </w:tr>
      <w:tr w14:paraId="4245DBD6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center"/>
          </w:tcPr>
          <w:p w14:paraId="43145700">
            <w:pPr>
              <w:spacing w:after="20"/>
            </w:pPr>
            <w:r>
              <w:rPr>
                <w:rFonts w:ascii="Cambria" w:hAnsi="Cambria"/>
                <w:b/>
                <w:sz w:val="16"/>
              </w:rPr>
              <w:t>A07</w:t>
            </w:r>
          </w:p>
        </w:tc>
        <w:tc>
          <w:tcPr>
            <w:tcW w:w="3427" w:type="dxa"/>
            <w:vAlign w:val="center"/>
          </w:tcPr>
          <w:p w14:paraId="52674CF8">
            <w:pPr>
              <w:spacing w:after="20"/>
            </w:pPr>
            <w:r>
              <w:rPr>
                <w:rFonts w:ascii="Cambria" w:hAnsi="Cambria"/>
                <w:b/>
                <w:sz w:val="16"/>
              </w:rPr>
              <w:t>Identification and Authentication Failures</w:t>
            </w:r>
          </w:p>
        </w:tc>
        <w:tc>
          <w:tcPr>
            <w:tcW w:w="3427" w:type="dxa"/>
            <w:vAlign w:val="center"/>
          </w:tcPr>
          <w:p w14:paraId="6B7CF821">
            <w:pPr>
              <w:spacing w:after="20"/>
            </w:pPr>
            <w:r>
              <w:rPr>
                <w:rFonts w:ascii="Cambria" w:hAnsi="Cambria"/>
                <w:b w:val="0"/>
                <w:sz w:val="16"/>
              </w:rPr>
              <w:t>Identity, login, or session controls are weak.</w:t>
            </w:r>
          </w:p>
        </w:tc>
      </w:tr>
      <w:tr w14:paraId="5AD627B8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center"/>
          </w:tcPr>
          <w:p w14:paraId="49BFA313">
            <w:pPr>
              <w:spacing w:after="20"/>
            </w:pPr>
            <w:r>
              <w:rPr>
                <w:rFonts w:ascii="Cambria" w:hAnsi="Cambria"/>
                <w:b/>
                <w:sz w:val="16"/>
              </w:rPr>
              <w:t>A08</w:t>
            </w:r>
          </w:p>
        </w:tc>
        <w:tc>
          <w:tcPr>
            <w:tcW w:w="3427" w:type="dxa"/>
            <w:vAlign w:val="center"/>
          </w:tcPr>
          <w:p w14:paraId="6AFDA503">
            <w:pPr>
              <w:spacing w:after="20"/>
            </w:pPr>
            <w:r>
              <w:rPr>
                <w:rFonts w:ascii="Cambria" w:hAnsi="Cambria"/>
                <w:b/>
                <w:sz w:val="16"/>
              </w:rPr>
              <w:t>Software and Data Integrity Failures</w:t>
            </w:r>
          </w:p>
        </w:tc>
        <w:tc>
          <w:tcPr>
            <w:tcW w:w="3427" w:type="dxa"/>
            <w:vAlign w:val="center"/>
          </w:tcPr>
          <w:p w14:paraId="29AEB5AC">
            <w:pPr>
              <w:spacing w:after="20"/>
            </w:pPr>
            <w:r>
              <w:rPr>
                <w:rFonts w:ascii="Cambria" w:hAnsi="Cambria"/>
                <w:b w:val="0"/>
                <w:sz w:val="16"/>
              </w:rPr>
              <w:t>Software or data is not properly verified.</w:t>
            </w:r>
          </w:p>
        </w:tc>
      </w:tr>
      <w:tr w14:paraId="6584A1AE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center"/>
          </w:tcPr>
          <w:p w14:paraId="457D35EF">
            <w:pPr>
              <w:spacing w:after="20"/>
            </w:pPr>
            <w:r>
              <w:rPr>
                <w:rFonts w:ascii="Cambria" w:hAnsi="Cambria"/>
                <w:b/>
                <w:sz w:val="16"/>
              </w:rPr>
              <w:t>A09</w:t>
            </w:r>
          </w:p>
        </w:tc>
        <w:tc>
          <w:tcPr>
            <w:tcW w:w="3427" w:type="dxa"/>
            <w:vAlign w:val="center"/>
          </w:tcPr>
          <w:p w14:paraId="4E5428DE">
            <w:pPr>
              <w:spacing w:after="20"/>
            </w:pPr>
            <w:r>
              <w:rPr>
                <w:rFonts w:ascii="Cambria" w:hAnsi="Cambria"/>
                <w:b/>
                <w:sz w:val="16"/>
              </w:rPr>
              <w:t>Security Logging and Monitoring Failures</w:t>
            </w:r>
          </w:p>
        </w:tc>
        <w:tc>
          <w:tcPr>
            <w:tcW w:w="3427" w:type="dxa"/>
            <w:vAlign w:val="center"/>
          </w:tcPr>
          <w:p w14:paraId="6F35CA14">
            <w:pPr>
              <w:spacing w:after="20"/>
            </w:pPr>
            <w:r>
              <w:rPr>
                <w:rFonts w:ascii="Cambria" w:hAnsi="Cambria"/>
                <w:b w:val="0"/>
                <w:sz w:val="16"/>
              </w:rPr>
              <w:t>Security events are not adequately recorded or monitored.</w:t>
            </w:r>
          </w:p>
        </w:tc>
      </w:tr>
      <w:tr w14:paraId="3EC75958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7" w:type="dxa"/>
            <w:vAlign w:val="center"/>
          </w:tcPr>
          <w:p w14:paraId="626C0ED2">
            <w:pPr>
              <w:spacing w:after="20"/>
            </w:pPr>
            <w:r>
              <w:rPr>
                <w:rFonts w:ascii="Cambria" w:hAnsi="Cambria"/>
                <w:b/>
                <w:sz w:val="16"/>
              </w:rPr>
              <w:t>A10</w:t>
            </w:r>
          </w:p>
        </w:tc>
        <w:tc>
          <w:tcPr>
            <w:tcW w:w="3427" w:type="dxa"/>
            <w:vAlign w:val="center"/>
          </w:tcPr>
          <w:p w14:paraId="14B8894D">
            <w:pPr>
              <w:spacing w:after="20"/>
            </w:pPr>
            <w:r>
              <w:rPr>
                <w:rFonts w:ascii="Cambria" w:hAnsi="Cambria"/>
                <w:b/>
                <w:sz w:val="16"/>
              </w:rPr>
              <w:t>Server-Side Request Forgery (SSRF)</w:t>
            </w:r>
          </w:p>
        </w:tc>
        <w:tc>
          <w:tcPr>
            <w:tcW w:w="3427" w:type="dxa"/>
            <w:vAlign w:val="center"/>
          </w:tcPr>
          <w:p w14:paraId="2BAB67DF">
            <w:pPr>
              <w:spacing w:after="20"/>
            </w:pPr>
            <w:r>
              <w:rPr>
                <w:rFonts w:ascii="Cambria" w:hAnsi="Cambria"/>
                <w:b w:val="0"/>
                <w:sz w:val="16"/>
              </w:rPr>
              <w:t>A server is manipulated into making unintended requests.</w:t>
            </w:r>
          </w:p>
        </w:tc>
      </w:tr>
    </w:tbl>
    <w:p w14:paraId="4859022B">
      <w:pPr>
        <w:pStyle w:val="2"/>
      </w:pPr>
      <w:r>
        <w:t>4. Common Security Risks</w:t>
      </w:r>
    </w:p>
    <w:tbl>
      <w:tblPr>
        <w:tblStyle w:val="12"/>
        <w:tblW w:w="0" w:type="auto"/>
        <w:tblInd w:w="0" w:type="dxa"/>
        <w:tblBorders>
          <w:top w:val="single" w:color="9DB4C8" w:sz="8" w:space="0"/>
          <w:left w:val="single" w:color="9DB4C8" w:sz="8" w:space="0"/>
          <w:bottom w:val="single" w:color="9DB4C8" w:sz="8" w:space="0"/>
          <w:right w:val="single" w:color="9DB4C8" w:sz="8" w:space="0"/>
          <w:insideH w:val="single" w:color="9DB4C8" w:sz="8" w:space="0"/>
          <w:insideV w:val="single" w:color="9DB4C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1"/>
        <w:gridCol w:w="5141"/>
      </w:tblGrid>
      <w:tr w14:paraId="371AE1E1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1" w:type="dxa"/>
            <w:shd w:val="clear" w:color="auto" w:fill="D7E5F2"/>
            <w:vAlign w:val="center"/>
          </w:tcPr>
          <w:p w14:paraId="77703A0A">
            <w:pPr>
              <w:spacing w:after="20"/>
            </w:pPr>
            <w:r>
              <w:rPr>
                <w:rFonts w:ascii="Cambria" w:hAnsi="Cambria"/>
                <w:b/>
                <w:sz w:val="18"/>
              </w:rPr>
              <w:t>Risk</w:t>
            </w:r>
          </w:p>
        </w:tc>
        <w:tc>
          <w:tcPr>
            <w:tcW w:w="5141" w:type="dxa"/>
            <w:shd w:val="clear" w:color="auto" w:fill="D7E5F2"/>
            <w:vAlign w:val="center"/>
          </w:tcPr>
          <w:p w14:paraId="095FD339">
            <w:pPr>
              <w:spacing w:after="20"/>
            </w:pPr>
            <w:r>
              <w:rPr>
                <w:rFonts w:ascii="Cambria" w:hAnsi="Cambria"/>
                <w:b/>
                <w:sz w:val="18"/>
              </w:rPr>
              <w:t>What it means</w:t>
            </w:r>
          </w:p>
        </w:tc>
      </w:tr>
      <w:tr w14:paraId="49E5D983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1" w:type="dxa"/>
            <w:vAlign w:val="center"/>
          </w:tcPr>
          <w:p w14:paraId="3BE9D6ED">
            <w:pPr>
              <w:spacing w:after="20"/>
            </w:pPr>
            <w:r>
              <w:rPr>
                <w:rFonts w:ascii="Cambria" w:hAnsi="Cambria"/>
                <w:b/>
                <w:sz w:val="17"/>
              </w:rPr>
              <w:t>SQL Injection</w:t>
            </w:r>
          </w:p>
        </w:tc>
        <w:tc>
          <w:tcPr>
            <w:tcW w:w="5141" w:type="dxa"/>
            <w:vAlign w:val="center"/>
          </w:tcPr>
          <w:p w14:paraId="4853E827">
            <w:pPr>
              <w:spacing w:after="20"/>
            </w:pPr>
            <w:r>
              <w:rPr>
                <w:rFonts w:ascii="Cambria" w:hAnsi="Cambria"/>
                <w:b w:val="0"/>
                <w:sz w:val="17"/>
              </w:rPr>
              <w:t>Untrusted input changes the meaning of a database query.</w:t>
            </w:r>
          </w:p>
        </w:tc>
      </w:tr>
      <w:tr w14:paraId="2830A605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1" w:type="dxa"/>
            <w:vAlign w:val="center"/>
          </w:tcPr>
          <w:p w14:paraId="7B99DF81">
            <w:pPr>
              <w:spacing w:after="20"/>
            </w:pPr>
            <w:r>
              <w:rPr>
                <w:rFonts w:ascii="Cambria" w:hAnsi="Cambria"/>
                <w:b/>
                <w:sz w:val="17"/>
              </w:rPr>
              <w:t>Cross-Site Scripting (XSS)</w:t>
            </w:r>
          </w:p>
        </w:tc>
        <w:tc>
          <w:tcPr>
            <w:tcW w:w="5141" w:type="dxa"/>
            <w:vAlign w:val="center"/>
          </w:tcPr>
          <w:p w14:paraId="1317DEB3">
            <w:pPr>
              <w:spacing w:after="20"/>
            </w:pPr>
            <w:r>
              <w:rPr>
                <w:rFonts w:ascii="Cambria" w:hAnsi="Cambria"/>
                <w:b w:val="0"/>
                <w:sz w:val="17"/>
              </w:rPr>
              <w:t>Untrusted content is rendered as executable script in a user's browser.</w:t>
            </w:r>
          </w:p>
        </w:tc>
      </w:tr>
      <w:tr w14:paraId="2D4E3804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1" w:type="dxa"/>
            <w:vAlign w:val="center"/>
          </w:tcPr>
          <w:p w14:paraId="309DCD90">
            <w:pPr>
              <w:spacing w:after="20"/>
            </w:pPr>
            <w:r>
              <w:rPr>
                <w:rFonts w:ascii="Cambria" w:hAnsi="Cambria"/>
                <w:b/>
                <w:sz w:val="17"/>
              </w:rPr>
              <w:t>Cross-Site Request Forgery (CSRF)</w:t>
            </w:r>
          </w:p>
        </w:tc>
        <w:tc>
          <w:tcPr>
            <w:tcW w:w="5141" w:type="dxa"/>
            <w:vAlign w:val="center"/>
          </w:tcPr>
          <w:p w14:paraId="116DC0FB">
            <w:pPr>
              <w:spacing w:after="20"/>
            </w:pPr>
            <w:r>
              <w:rPr>
                <w:rFonts w:ascii="Cambria" w:hAnsi="Cambria"/>
                <w:b w:val="0"/>
                <w:sz w:val="17"/>
              </w:rPr>
              <w:t>A browser is tricked into sending an unwanted authenticated request.</w:t>
            </w:r>
          </w:p>
        </w:tc>
      </w:tr>
      <w:tr w14:paraId="15229DCA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1" w:type="dxa"/>
            <w:vAlign w:val="center"/>
          </w:tcPr>
          <w:p w14:paraId="20552BA5">
            <w:pPr>
              <w:spacing w:after="20"/>
            </w:pPr>
            <w:r>
              <w:rPr>
                <w:rFonts w:ascii="Cambria" w:hAnsi="Cambria"/>
                <w:b/>
                <w:sz w:val="17"/>
              </w:rPr>
              <w:t>Broken Authentication</w:t>
            </w:r>
          </w:p>
        </w:tc>
        <w:tc>
          <w:tcPr>
            <w:tcW w:w="5141" w:type="dxa"/>
            <w:vAlign w:val="center"/>
          </w:tcPr>
          <w:p w14:paraId="2DA21175">
            <w:pPr>
              <w:spacing w:after="20"/>
            </w:pPr>
            <w:r>
              <w:rPr>
                <w:rFonts w:ascii="Cambria" w:hAnsi="Cambria"/>
                <w:b w:val="0"/>
                <w:sz w:val="17"/>
              </w:rPr>
              <w:t>Weak login, recovery, or session controls allow account compromise.</w:t>
            </w:r>
          </w:p>
        </w:tc>
      </w:tr>
      <w:tr w14:paraId="2A881DF7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1" w:type="dxa"/>
            <w:vAlign w:val="center"/>
          </w:tcPr>
          <w:p w14:paraId="53CBCEC8">
            <w:pPr>
              <w:spacing w:after="20"/>
            </w:pPr>
            <w:r>
              <w:rPr>
                <w:rFonts w:ascii="Cambria" w:hAnsi="Cambria"/>
                <w:b/>
                <w:sz w:val="17"/>
              </w:rPr>
              <w:t>Sensitive Data Exposure</w:t>
            </w:r>
          </w:p>
        </w:tc>
        <w:tc>
          <w:tcPr>
            <w:tcW w:w="5141" w:type="dxa"/>
            <w:vAlign w:val="center"/>
          </w:tcPr>
          <w:p w14:paraId="2197C360">
            <w:pPr>
              <w:spacing w:after="20"/>
            </w:pPr>
            <w:r>
              <w:rPr>
                <w:rFonts w:ascii="Cambria" w:hAnsi="Cambria"/>
                <w:b w:val="0"/>
                <w:sz w:val="17"/>
              </w:rPr>
              <w:t>Credentials, tokens, or personal information are exposed or poorly protected.</w:t>
            </w:r>
          </w:p>
        </w:tc>
      </w:tr>
      <w:tr w14:paraId="4E761516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1" w:type="dxa"/>
            <w:vAlign w:val="center"/>
          </w:tcPr>
          <w:p w14:paraId="4B49B490">
            <w:pPr>
              <w:spacing w:after="20"/>
            </w:pPr>
            <w:r>
              <w:rPr>
                <w:rFonts w:ascii="Cambria" w:hAnsi="Cambria"/>
                <w:b/>
                <w:sz w:val="17"/>
              </w:rPr>
              <w:t>Security Misconfiguration</w:t>
            </w:r>
          </w:p>
        </w:tc>
        <w:tc>
          <w:tcPr>
            <w:tcW w:w="5141" w:type="dxa"/>
            <w:vAlign w:val="center"/>
          </w:tcPr>
          <w:p w14:paraId="25F4E690">
            <w:pPr>
              <w:spacing w:after="20"/>
            </w:pPr>
            <w:r>
              <w:rPr>
                <w:rFonts w:ascii="Cambria" w:hAnsi="Cambria"/>
                <w:b w:val="0"/>
                <w:sz w:val="17"/>
              </w:rPr>
              <w:t>Unsafe server or application settings increase attack surface.</w:t>
            </w:r>
          </w:p>
        </w:tc>
      </w:tr>
    </w:tbl>
    <w:p w14:paraId="33577A04">
      <w:r>
        <w:br w:type="page"/>
      </w:r>
    </w:p>
    <w:p w14:paraId="124D1150">
      <w:pPr>
        <w:pStyle w:val="2"/>
      </w:pPr>
      <w:r>
        <w:t>5. Basic Security Testing Workflow</w:t>
      </w:r>
    </w:p>
    <w:p w14:paraId="1B41F781">
      <w:pPr>
        <w:spacing w:before="100" w:after="60"/>
        <w:jc w:val="center"/>
      </w:pPr>
      <w:r>
        <w:rPr>
          <w:rFonts w:ascii="Arial" w:hAnsi="Arial"/>
          <w:b/>
          <w:color w:val="2F5478"/>
          <w:sz w:val="22"/>
        </w:rPr>
        <w:t>PRACTICAL EXECUTION SEQUENCE</w:t>
      </w:r>
    </w:p>
    <w:tbl>
      <w:tblPr>
        <w:tblStyle w:val="12"/>
        <w:tblW w:w="0" w:type="auto"/>
        <w:jc w:val="center"/>
        <w:tblBorders>
          <w:top w:val="single" w:color="AABBCB" w:sz="10" w:space="0"/>
          <w:left w:val="single" w:color="AABBCB" w:sz="10" w:space="0"/>
          <w:bottom w:val="single" w:color="AABBCB" w:sz="10" w:space="0"/>
          <w:right w:val="single" w:color="AABBCB" w:sz="10" w:space="0"/>
          <w:insideH w:val="single" w:color="AABBCB" w:sz="10" w:space="0"/>
          <w:insideV w:val="single" w:color="AABBCB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6"/>
        <w:gridCol w:w="2056"/>
        <w:gridCol w:w="2056"/>
        <w:gridCol w:w="2056"/>
        <w:gridCol w:w="2056"/>
      </w:tblGrid>
      <w:tr w14:paraId="2E3A67C9">
        <w:tblPrEx>
          <w:tblBorders>
            <w:top w:val="single" w:color="AABBCB" w:sz="10" w:space="0"/>
            <w:left w:val="single" w:color="AABBCB" w:sz="10" w:space="0"/>
            <w:bottom w:val="single" w:color="AABBCB" w:sz="10" w:space="0"/>
            <w:right w:val="single" w:color="AABBCB" w:sz="10" w:space="0"/>
            <w:insideH w:val="single" w:color="AABBCB" w:sz="10" w:space="0"/>
            <w:insideV w:val="single" w:color="AABBCB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6" w:type="dxa"/>
            <w:shd w:val="clear" w:color="auto" w:fill="E7F0FA"/>
          </w:tcPr>
          <w:p w14:paraId="50C05C5D">
            <w:pPr>
              <w:spacing w:after="40"/>
              <w:jc w:val="center"/>
            </w:pPr>
            <w:r>
              <w:rPr>
                <w:rFonts w:ascii="Arial" w:hAnsi="Arial"/>
                <w:b/>
                <w:sz w:val="16"/>
              </w:rPr>
              <w:t>1. Scope</w:t>
            </w:r>
          </w:p>
          <w:p w14:paraId="629B325F">
            <w:pPr>
              <w:spacing w:after="20"/>
              <w:jc w:val="center"/>
            </w:pPr>
            <w:r>
              <w:rPr>
                <w:rFonts w:ascii="Arial" w:hAnsi="Arial"/>
                <w:sz w:val="14"/>
              </w:rPr>
              <w:t>Target + permission</w:t>
            </w:r>
          </w:p>
        </w:tc>
        <w:tc>
          <w:tcPr>
            <w:tcW w:w="2056" w:type="dxa"/>
            <w:shd w:val="clear" w:color="auto" w:fill="FFF1D9"/>
          </w:tcPr>
          <w:p w14:paraId="4E629BE5">
            <w:pPr>
              <w:spacing w:after="40"/>
              <w:jc w:val="center"/>
            </w:pPr>
            <w:r>
              <w:rPr>
                <w:rFonts w:ascii="Arial" w:hAnsi="Arial"/>
                <w:b/>
                <w:sz w:val="16"/>
              </w:rPr>
              <w:t>2. Prepare</w:t>
            </w:r>
          </w:p>
          <w:p w14:paraId="5C476F83">
            <w:pPr>
              <w:spacing w:after="20"/>
              <w:jc w:val="center"/>
            </w:pPr>
            <w:r>
              <w:rPr>
                <w:rFonts w:ascii="Arial" w:hAnsi="Arial"/>
                <w:sz w:val="14"/>
              </w:rPr>
              <w:t>Accounts + data</w:t>
            </w:r>
          </w:p>
        </w:tc>
        <w:tc>
          <w:tcPr>
            <w:tcW w:w="2056" w:type="dxa"/>
            <w:shd w:val="clear" w:color="auto" w:fill="E4F3EC"/>
          </w:tcPr>
          <w:p w14:paraId="48A42C47">
            <w:pPr>
              <w:spacing w:after="40"/>
              <w:jc w:val="center"/>
            </w:pPr>
            <w:r>
              <w:rPr>
                <w:rFonts w:ascii="Arial" w:hAnsi="Arial"/>
                <w:b/>
                <w:sz w:val="16"/>
              </w:rPr>
              <w:t>3. Execute</w:t>
            </w:r>
          </w:p>
          <w:p w14:paraId="06438111">
            <w:pPr>
              <w:spacing w:after="20"/>
              <w:jc w:val="center"/>
            </w:pPr>
            <w:r>
              <w:rPr>
                <w:rFonts w:ascii="Arial" w:hAnsi="Arial"/>
                <w:sz w:val="14"/>
              </w:rPr>
              <w:t>Manual test cases</w:t>
            </w:r>
          </w:p>
        </w:tc>
        <w:tc>
          <w:tcPr>
            <w:tcW w:w="2056" w:type="dxa"/>
            <w:shd w:val="clear" w:color="auto" w:fill="F0E9FA"/>
          </w:tcPr>
          <w:p w14:paraId="246FA16B">
            <w:pPr>
              <w:spacing w:after="40"/>
              <w:jc w:val="center"/>
            </w:pPr>
            <w:r>
              <w:rPr>
                <w:rFonts w:ascii="Arial" w:hAnsi="Arial"/>
                <w:b/>
                <w:sz w:val="16"/>
              </w:rPr>
              <w:t>4. Review</w:t>
            </w:r>
          </w:p>
          <w:p w14:paraId="1265855F">
            <w:pPr>
              <w:spacing w:after="20"/>
              <w:jc w:val="center"/>
            </w:pPr>
            <w:r>
              <w:rPr>
                <w:rFonts w:ascii="Arial" w:hAnsi="Arial"/>
                <w:sz w:val="14"/>
              </w:rPr>
              <w:t>Evidence + impact</w:t>
            </w:r>
          </w:p>
        </w:tc>
        <w:tc>
          <w:tcPr>
            <w:tcW w:w="2056" w:type="dxa"/>
            <w:shd w:val="clear" w:color="auto" w:fill="FBE9ED"/>
          </w:tcPr>
          <w:p w14:paraId="4323EB77">
            <w:pPr>
              <w:spacing w:after="40"/>
              <w:jc w:val="center"/>
            </w:pPr>
            <w:r>
              <w:rPr>
                <w:rFonts w:ascii="Arial" w:hAnsi="Arial"/>
                <w:b/>
                <w:sz w:val="16"/>
              </w:rPr>
              <w:t>5. Report</w:t>
            </w:r>
          </w:p>
          <w:p w14:paraId="12691BAA">
            <w:pPr>
              <w:spacing w:after="20"/>
              <w:jc w:val="center"/>
            </w:pPr>
            <w:r>
              <w:rPr>
                <w:rFonts w:ascii="Arial" w:hAnsi="Arial"/>
                <w:sz w:val="14"/>
              </w:rPr>
              <w:t>Finding + fix</w:t>
            </w:r>
          </w:p>
        </w:tc>
      </w:tr>
    </w:tbl>
    <w:p w14:paraId="70129A5B">
      <w:pPr>
        <w:spacing w:after="20"/>
      </w:pPr>
    </w:p>
    <w:p w14:paraId="770C9DE5">
      <w:pPr>
        <w:pStyle w:val="29"/>
      </w:pPr>
      <w:r>
        <w:t>Confirm the approved target, test accounts, time window, and permitted methods.</w:t>
      </w:r>
    </w:p>
    <w:p w14:paraId="7E6FB3D7">
      <w:pPr>
        <w:pStyle w:val="29"/>
      </w:pPr>
      <w:r>
        <w:t>Review requirements and identify security-sensitive features.</w:t>
      </w:r>
    </w:p>
    <w:p w14:paraId="1EBDCB33">
      <w:pPr>
        <w:pStyle w:val="29"/>
      </w:pPr>
      <w:r>
        <w:t>Choose relevant test cases and use designated test data.</w:t>
      </w:r>
    </w:p>
    <w:p w14:paraId="70E64F9E">
      <w:pPr>
        <w:pStyle w:val="29"/>
      </w:pPr>
      <w:r>
        <w:t>Execute each test and record the actual result.</w:t>
      </w:r>
    </w:p>
    <w:p w14:paraId="7870F6BC">
      <w:pPr>
        <w:pStyle w:val="29"/>
      </w:pPr>
      <w:r>
        <w:t>Capture relevant evidence while redacting credentials, tokens, and personal data.</w:t>
      </w:r>
    </w:p>
    <w:p w14:paraId="266509F3">
      <w:pPr>
        <w:pStyle w:val="29"/>
      </w:pPr>
      <w:r>
        <w:t>Validate potential vulnerabilities and report impact and recommended remediation.</w:t>
      </w:r>
    </w:p>
    <w:p w14:paraId="20A4E984">
      <w:pPr>
        <w:pStyle w:val="2"/>
      </w:pPr>
      <w:r>
        <w:t>6. Security Test Case Components</w:t>
      </w:r>
    </w:p>
    <w:tbl>
      <w:tblPr>
        <w:tblStyle w:val="12"/>
        <w:tblW w:w="0" w:type="auto"/>
        <w:tblInd w:w="0" w:type="dxa"/>
        <w:tblBorders>
          <w:top w:val="single" w:color="9DB4C8" w:sz="8" w:space="0"/>
          <w:left w:val="single" w:color="9DB4C8" w:sz="8" w:space="0"/>
          <w:bottom w:val="single" w:color="9DB4C8" w:sz="8" w:space="0"/>
          <w:right w:val="single" w:color="9DB4C8" w:sz="8" w:space="0"/>
          <w:insideH w:val="single" w:color="9DB4C8" w:sz="8" w:space="0"/>
          <w:insideV w:val="single" w:color="9DB4C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1"/>
        <w:gridCol w:w="5141"/>
      </w:tblGrid>
      <w:tr w14:paraId="08CFC72B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1" w:type="dxa"/>
            <w:shd w:val="clear" w:color="auto" w:fill="D7E5F2"/>
            <w:vAlign w:val="center"/>
          </w:tcPr>
          <w:p w14:paraId="5E830DE8">
            <w:pPr>
              <w:spacing w:after="20"/>
            </w:pPr>
            <w:r>
              <w:rPr>
                <w:rFonts w:ascii="Cambria" w:hAnsi="Cambria"/>
                <w:b/>
                <w:sz w:val="18"/>
              </w:rPr>
              <w:t>Component</w:t>
            </w:r>
          </w:p>
        </w:tc>
        <w:tc>
          <w:tcPr>
            <w:tcW w:w="5141" w:type="dxa"/>
            <w:shd w:val="clear" w:color="auto" w:fill="D7E5F2"/>
            <w:vAlign w:val="center"/>
          </w:tcPr>
          <w:p w14:paraId="793442C9">
            <w:pPr>
              <w:spacing w:after="20"/>
            </w:pPr>
            <w:r>
              <w:rPr>
                <w:rFonts w:ascii="Cambria" w:hAnsi="Cambria"/>
                <w:b/>
                <w:sz w:val="18"/>
              </w:rPr>
              <w:t>What to include</w:t>
            </w:r>
          </w:p>
        </w:tc>
      </w:tr>
      <w:tr w14:paraId="4032EA58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1" w:type="dxa"/>
            <w:vAlign w:val="center"/>
          </w:tcPr>
          <w:p w14:paraId="20288BC6">
            <w:pPr>
              <w:spacing w:after="20"/>
            </w:pPr>
            <w:r>
              <w:rPr>
                <w:rFonts w:ascii="Cambria" w:hAnsi="Cambria"/>
                <w:b/>
                <w:sz w:val="17"/>
              </w:rPr>
              <w:t>Test Case ID</w:t>
            </w:r>
          </w:p>
        </w:tc>
        <w:tc>
          <w:tcPr>
            <w:tcW w:w="5141" w:type="dxa"/>
            <w:vAlign w:val="center"/>
          </w:tcPr>
          <w:p w14:paraId="3689BAB3">
            <w:pPr>
              <w:spacing w:after="20"/>
            </w:pPr>
            <w:r>
              <w:rPr>
                <w:rFonts w:ascii="Cambria" w:hAnsi="Cambria"/>
                <w:b w:val="0"/>
                <w:sz w:val="17"/>
              </w:rPr>
              <w:t>Unique identifier.</w:t>
            </w:r>
          </w:p>
        </w:tc>
      </w:tr>
      <w:tr w14:paraId="48137C4D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1" w:type="dxa"/>
            <w:vAlign w:val="center"/>
          </w:tcPr>
          <w:p w14:paraId="1AEA4E38">
            <w:pPr>
              <w:spacing w:after="20"/>
            </w:pPr>
            <w:r>
              <w:rPr>
                <w:rFonts w:ascii="Cambria" w:hAnsi="Cambria"/>
                <w:b/>
                <w:sz w:val="17"/>
              </w:rPr>
              <w:t>Scenario</w:t>
            </w:r>
          </w:p>
        </w:tc>
        <w:tc>
          <w:tcPr>
            <w:tcW w:w="5141" w:type="dxa"/>
            <w:vAlign w:val="center"/>
          </w:tcPr>
          <w:p w14:paraId="6407113A">
            <w:pPr>
              <w:spacing w:after="20"/>
            </w:pPr>
            <w:r>
              <w:rPr>
                <w:rFonts w:ascii="Cambria" w:hAnsi="Cambria"/>
                <w:b w:val="0"/>
                <w:sz w:val="17"/>
              </w:rPr>
              <w:t>Security behavior being checked.</w:t>
            </w:r>
          </w:p>
        </w:tc>
      </w:tr>
      <w:tr w14:paraId="7678CE42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1" w:type="dxa"/>
            <w:vAlign w:val="center"/>
          </w:tcPr>
          <w:p w14:paraId="52444B0B">
            <w:pPr>
              <w:spacing w:after="20"/>
            </w:pPr>
            <w:r>
              <w:rPr>
                <w:rFonts w:ascii="Cambria" w:hAnsi="Cambria"/>
                <w:b/>
                <w:sz w:val="17"/>
              </w:rPr>
              <w:t>Preconditions</w:t>
            </w:r>
          </w:p>
        </w:tc>
        <w:tc>
          <w:tcPr>
            <w:tcW w:w="5141" w:type="dxa"/>
            <w:vAlign w:val="center"/>
          </w:tcPr>
          <w:p w14:paraId="102704C9">
            <w:pPr>
              <w:spacing w:after="20"/>
            </w:pPr>
            <w:r>
              <w:rPr>
                <w:rFonts w:ascii="Cambria" w:hAnsi="Cambria"/>
                <w:b w:val="0"/>
                <w:sz w:val="17"/>
              </w:rPr>
              <w:t>Required account, role, setup, and test data.</w:t>
            </w:r>
          </w:p>
        </w:tc>
      </w:tr>
      <w:tr w14:paraId="246AF96D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1" w:type="dxa"/>
            <w:vAlign w:val="center"/>
          </w:tcPr>
          <w:p w14:paraId="7F681776">
            <w:pPr>
              <w:spacing w:after="20"/>
            </w:pPr>
            <w:r>
              <w:rPr>
                <w:rFonts w:ascii="Cambria" w:hAnsi="Cambria"/>
                <w:b/>
                <w:sz w:val="17"/>
              </w:rPr>
              <w:t>Steps</w:t>
            </w:r>
          </w:p>
        </w:tc>
        <w:tc>
          <w:tcPr>
            <w:tcW w:w="5141" w:type="dxa"/>
            <w:vAlign w:val="center"/>
          </w:tcPr>
          <w:p w14:paraId="2A6479CE">
            <w:pPr>
              <w:spacing w:after="20"/>
            </w:pPr>
            <w:r>
              <w:rPr>
                <w:rFonts w:ascii="Cambria" w:hAnsi="Cambria"/>
                <w:b w:val="0"/>
                <w:sz w:val="17"/>
              </w:rPr>
              <w:t>Exact actions in the order performed.</w:t>
            </w:r>
          </w:p>
        </w:tc>
      </w:tr>
      <w:tr w14:paraId="5FD7F762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1" w:type="dxa"/>
            <w:vAlign w:val="center"/>
          </w:tcPr>
          <w:p w14:paraId="7A8A7E68">
            <w:pPr>
              <w:spacing w:after="20"/>
            </w:pPr>
            <w:r>
              <w:rPr>
                <w:rFonts w:ascii="Cambria" w:hAnsi="Cambria"/>
                <w:b/>
                <w:sz w:val="17"/>
              </w:rPr>
              <w:t>Test Data</w:t>
            </w:r>
          </w:p>
        </w:tc>
        <w:tc>
          <w:tcPr>
            <w:tcW w:w="5141" w:type="dxa"/>
            <w:vAlign w:val="center"/>
          </w:tcPr>
          <w:p w14:paraId="26F36D84">
            <w:pPr>
              <w:spacing w:after="20"/>
            </w:pPr>
            <w:r>
              <w:rPr>
                <w:rFonts w:ascii="Cambria" w:hAnsi="Cambria"/>
                <w:b w:val="0"/>
                <w:sz w:val="17"/>
              </w:rPr>
              <w:t>Safe input values used for the check.</w:t>
            </w:r>
          </w:p>
        </w:tc>
      </w:tr>
      <w:tr w14:paraId="5FCF9121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1" w:type="dxa"/>
            <w:vAlign w:val="center"/>
          </w:tcPr>
          <w:p w14:paraId="047EFCCF">
            <w:pPr>
              <w:spacing w:after="20"/>
            </w:pPr>
            <w:r>
              <w:rPr>
                <w:rFonts w:ascii="Cambria" w:hAnsi="Cambria"/>
                <w:b/>
                <w:sz w:val="17"/>
              </w:rPr>
              <w:t>Expected Result</w:t>
            </w:r>
          </w:p>
        </w:tc>
        <w:tc>
          <w:tcPr>
            <w:tcW w:w="5141" w:type="dxa"/>
            <w:vAlign w:val="center"/>
          </w:tcPr>
          <w:p w14:paraId="7B9E7C3A">
            <w:pPr>
              <w:spacing w:after="20"/>
            </w:pPr>
            <w:r>
              <w:rPr>
                <w:rFonts w:ascii="Cambria" w:hAnsi="Cambria"/>
                <w:b w:val="0"/>
                <w:sz w:val="17"/>
              </w:rPr>
              <w:t>Secure behavior required by the application.</w:t>
            </w:r>
          </w:p>
        </w:tc>
      </w:tr>
      <w:tr w14:paraId="1C9C893D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1" w:type="dxa"/>
            <w:vAlign w:val="center"/>
          </w:tcPr>
          <w:p w14:paraId="35A1E205">
            <w:pPr>
              <w:spacing w:after="20"/>
            </w:pPr>
            <w:r>
              <w:rPr>
                <w:rFonts w:ascii="Cambria" w:hAnsi="Cambria"/>
                <w:b/>
                <w:sz w:val="17"/>
              </w:rPr>
              <w:t>Actual Result</w:t>
            </w:r>
          </w:p>
        </w:tc>
        <w:tc>
          <w:tcPr>
            <w:tcW w:w="5141" w:type="dxa"/>
            <w:vAlign w:val="center"/>
          </w:tcPr>
          <w:p w14:paraId="19BD89D4">
            <w:pPr>
              <w:spacing w:after="20"/>
            </w:pPr>
            <w:r>
              <w:rPr>
                <w:rFonts w:ascii="Cambria" w:hAnsi="Cambria"/>
                <w:b w:val="0"/>
                <w:sz w:val="17"/>
              </w:rPr>
              <w:t>Observed behavior and exact error, if relevant.</w:t>
            </w:r>
          </w:p>
        </w:tc>
      </w:tr>
      <w:tr w14:paraId="58FC49BA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1" w:type="dxa"/>
            <w:vAlign w:val="center"/>
          </w:tcPr>
          <w:p w14:paraId="27F32FEB">
            <w:pPr>
              <w:spacing w:after="20"/>
            </w:pPr>
            <w:r>
              <w:rPr>
                <w:rFonts w:ascii="Cambria" w:hAnsi="Cambria"/>
                <w:b/>
                <w:sz w:val="17"/>
              </w:rPr>
              <w:t>Evidence</w:t>
            </w:r>
          </w:p>
        </w:tc>
        <w:tc>
          <w:tcPr>
            <w:tcW w:w="5141" w:type="dxa"/>
            <w:vAlign w:val="center"/>
          </w:tcPr>
          <w:p w14:paraId="398D4263">
            <w:pPr>
              <w:spacing w:after="20"/>
            </w:pPr>
            <w:r>
              <w:rPr>
                <w:rFonts w:ascii="Cambria" w:hAnsi="Cambria"/>
                <w:b w:val="0"/>
                <w:sz w:val="17"/>
              </w:rPr>
              <w:t>Redacted screenshot, response, or log.</w:t>
            </w:r>
          </w:p>
        </w:tc>
      </w:tr>
      <w:tr w14:paraId="5BDC00E9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1" w:type="dxa"/>
            <w:vAlign w:val="center"/>
          </w:tcPr>
          <w:p w14:paraId="75EA88F8">
            <w:pPr>
              <w:spacing w:after="20"/>
            </w:pPr>
            <w:r>
              <w:rPr>
                <w:rFonts w:ascii="Cambria" w:hAnsi="Cambria"/>
                <w:b/>
                <w:sz w:val="17"/>
              </w:rPr>
              <w:t>Status</w:t>
            </w:r>
          </w:p>
        </w:tc>
        <w:tc>
          <w:tcPr>
            <w:tcW w:w="5141" w:type="dxa"/>
            <w:vAlign w:val="center"/>
          </w:tcPr>
          <w:p w14:paraId="4DCEFE57">
            <w:pPr>
              <w:spacing w:after="20"/>
            </w:pPr>
            <w:r>
              <w:rPr>
                <w:rFonts w:ascii="Cambria" w:hAnsi="Cambria"/>
                <w:b w:val="0"/>
                <w:sz w:val="17"/>
              </w:rPr>
              <w:t>Pass, Fail, Blocked, or Not Run.</w:t>
            </w:r>
          </w:p>
        </w:tc>
      </w:tr>
    </w:tbl>
    <w:p w14:paraId="7C8CD2D3">
      <w:pPr>
        <w:pStyle w:val="2"/>
      </w:pPr>
      <w:r>
        <w:t>7. Security Checklist</w:t>
      </w:r>
    </w:p>
    <w:p w14:paraId="5F29FCEF">
      <w:pPr>
        <w:pStyle w:val="3"/>
      </w:pPr>
      <w:r>
        <w:t>Authentication and authorization</w:t>
      </w:r>
    </w:p>
    <w:p w14:paraId="0DA66BDE">
      <w:r>
        <w:t>☐  Invalid credentials are rejected without exposing unnecessary account details.</w:t>
      </w:r>
    </w:p>
    <w:p w14:paraId="123BF87D">
      <w:r>
        <w:t>☐  Protected pages require authentication.</w:t>
      </w:r>
    </w:p>
    <w:p w14:paraId="6FBF7045">
      <w:r>
        <w:t>☐  Users cannot access another user's records by changing an identifier.</w:t>
      </w:r>
    </w:p>
    <w:p w14:paraId="5DD2CF99">
      <w:r>
        <w:t>☐  Admin-only functions are restricted to authorized roles.</w:t>
      </w:r>
    </w:p>
    <w:p w14:paraId="42D3DD51">
      <w:pPr>
        <w:pStyle w:val="3"/>
      </w:pPr>
      <w:r>
        <w:t>Input and session handling</w:t>
      </w:r>
    </w:p>
    <w:p w14:paraId="14930B7A">
      <w:r>
        <w:t>☐  Unexpected input is safely validated and encoded.</w:t>
      </w:r>
    </w:p>
    <w:p w14:paraId="492B9D7D">
      <w:r>
        <w:t>☐  Session expiry and logout are enforced.</w:t>
      </w:r>
    </w:p>
    <w:p w14:paraId="51305EF7">
      <w:r>
        <w:t>☐  Cookies use appropriate Secure, HttpOnly, and SameSite attributes where applicable.</w:t>
      </w:r>
    </w:p>
    <w:p w14:paraId="7B1F0BC1">
      <w:r>
        <w:t>☐  CSRF protections are applied to relevant state-changing requests.</w:t>
      </w:r>
    </w:p>
    <w:p w14:paraId="14796C97">
      <w:pPr>
        <w:pStyle w:val="3"/>
      </w:pPr>
      <w:r>
        <w:t>Data and configuration</w:t>
      </w:r>
    </w:p>
    <w:p w14:paraId="613AEE40">
      <w:r>
        <w:t>☐  Sensitive traffic uses HTTPS.</w:t>
      </w:r>
    </w:p>
    <w:p w14:paraId="6452A8AC">
      <w:r>
        <w:t>☐  Errors do not expose stack traces, secrets, or internal details.</w:t>
      </w:r>
    </w:p>
    <w:p w14:paraId="07401EFD">
      <w:r>
        <w:t>☐  Security headers and dependency versions are reviewed.</w:t>
      </w:r>
    </w:p>
    <w:p w14:paraId="26AC0FE8">
      <w:r>
        <w:t>☐  Logs do not record passwords, tokens, or other secrets.</w:t>
      </w:r>
    </w:p>
    <w:p w14:paraId="66152749">
      <w:r>
        <w:br w:type="page"/>
      </w:r>
    </w:p>
    <w:p w14:paraId="741014EF">
      <w:pPr>
        <w:pStyle w:val="2"/>
      </w:pPr>
      <w:r>
        <w:t xml:space="preserve">8. OWASP ZAP </w:t>
      </w:r>
    </w:p>
    <w:p w14:paraId="3018FC3F">
      <w:r>
        <w:t>OWASP</w:t>
      </w:r>
      <w:r>
        <w:rPr>
          <w:rFonts w:hint="default"/>
          <w:lang w:val="en-IN"/>
        </w:rPr>
        <w:t xml:space="preserve"> </w:t>
      </w:r>
      <w:r>
        <w:t xml:space="preserve"> ZAP (Zed Attack Proxy) is a web application security testing tool. It can proxy browser traffic, perform passive analysis, and run active tests when explicitly authorized.</w:t>
      </w:r>
    </w:p>
    <w:p w14:paraId="13CBEBF2">
      <w:pPr>
        <w:spacing w:before="100" w:after="60"/>
        <w:jc w:val="center"/>
      </w:pPr>
      <w:r>
        <w:rPr>
          <w:rFonts w:ascii="Arial" w:hAnsi="Arial"/>
          <w:b/>
          <w:color w:val="2F5478"/>
          <w:sz w:val="22"/>
        </w:rPr>
        <w:t>ZAP  WORKFLOW</w:t>
      </w:r>
    </w:p>
    <w:tbl>
      <w:tblPr>
        <w:tblStyle w:val="12"/>
        <w:tblW w:w="0" w:type="auto"/>
        <w:jc w:val="center"/>
        <w:tblBorders>
          <w:top w:val="single" w:color="AABBCB" w:sz="10" w:space="0"/>
          <w:left w:val="single" w:color="AABBCB" w:sz="10" w:space="0"/>
          <w:bottom w:val="single" w:color="AABBCB" w:sz="10" w:space="0"/>
          <w:right w:val="single" w:color="AABBCB" w:sz="10" w:space="0"/>
          <w:insideH w:val="single" w:color="AABBCB" w:sz="10" w:space="0"/>
          <w:insideV w:val="single" w:color="AABBCB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6"/>
        <w:gridCol w:w="2056"/>
        <w:gridCol w:w="2056"/>
        <w:gridCol w:w="2056"/>
        <w:gridCol w:w="2056"/>
      </w:tblGrid>
      <w:tr w14:paraId="2A470DDE">
        <w:tblPrEx>
          <w:tblBorders>
            <w:top w:val="single" w:color="AABBCB" w:sz="10" w:space="0"/>
            <w:left w:val="single" w:color="AABBCB" w:sz="10" w:space="0"/>
            <w:bottom w:val="single" w:color="AABBCB" w:sz="10" w:space="0"/>
            <w:right w:val="single" w:color="AABBCB" w:sz="10" w:space="0"/>
            <w:insideH w:val="single" w:color="AABBCB" w:sz="10" w:space="0"/>
            <w:insideV w:val="single" w:color="AABBCB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6" w:type="dxa"/>
            <w:shd w:val="clear" w:color="auto" w:fill="E7F0FA"/>
          </w:tcPr>
          <w:p w14:paraId="15A2094F">
            <w:pPr>
              <w:spacing w:after="40"/>
              <w:jc w:val="center"/>
            </w:pPr>
            <w:r>
              <w:rPr>
                <w:rFonts w:ascii="Arial" w:hAnsi="Arial"/>
                <w:b/>
                <w:sz w:val="16"/>
              </w:rPr>
              <w:t>Launch</w:t>
            </w:r>
          </w:p>
          <w:p w14:paraId="5F2F5712">
            <w:pPr>
              <w:spacing w:after="20"/>
              <w:jc w:val="center"/>
            </w:pPr>
            <w:r>
              <w:rPr>
                <w:rFonts w:ascii="Arial" w:hAnsi="Arial"/>
                <w:sz w:val="14"/>
              </w:rPr>
              <w:t>Open ZAP</w:t>
            </w:r>
          </w:p>
        </w:tc>
        <w:tc>
          <w:tcPr>
            <w:tcW w:w="2056" w:type="dxa"/>
            <w:shd w:val="clear" w:color="auto" w:fill="FFF1D9"/>
          </w:tcPr>
          <w:p w14:paraId="77BE13F6">
            <w:pPr>
              <w:spacing w:after="40"/>
              <w:jc w:val="center"/>
            </w:pPr>
            <w:r>
              <w:rPr>
                <w:rFonts w:ascii="Arial" w:hAnsi="Arial"/>
                <w:b/>
                <w:sz w:val="16"/>
              </w:rPr>
              <w:t>Target</w:t>
            </w:r>
          </w:p>
          <w:p w14:paraId="0FD613EC">
            <w:pPr>
              <w:spacing w:after="20"/>
              <w:jc w:val="center"/>
            </w:pPr>
            <w:r>
              <w:rPr>
                <w:rFonts w:ascii="Arial" w:hAnsi="Arial"/>
                <w:sz w:val="14"/>
              </w:rPr>
              <w:t>Local lab app</w:t>
            </w:r>
          </w:p>
        </w:tc>
        <w:tc>
          <w:tcPr>
            <w:tcW w:w="2056" w:type="dxa"/>
            <w:shd w:val="clear" w:color="auto" w:fill="E4F3EC"/>
          </w:tcPr>
          <w:p w14:paraId="555F932B">
            <w:pPr>
              <w:spacing w:after="40"/>
              <w:jc w:val="center"/>
            </w:pPr>
            <w:r>
              <w:rPr>
                <w:rFonts w:ascii="Arial" w:hAnsi="Arial"/>
                <w:b/>
                <w:sz w:val="16"/>
              </w:rPr>
              <w:t>Browse</w:t>
            </w:r>
          </w:p>
          <w:p w14:paraId="422F3586">
            <w:pPr>
              <w:spacing w:after="20"/>
              <w:jc w:val="center"/>
            </w:pPr>
            <w:r>
              <w:rPr>
                <w:rFonts w:ascii="Arial" w:hAnsi="Arial"/>
                <w:sz w:val="14"/>
              </w:rPr>
              <w:t>Proxy traffic</w:t>
            </w:r>
          </w:p>
        </w:tc>
        <w:tc>
          <w:tcPr>
            <w:tcW w:w="2056" w:type="dxa"/>
            <w:shd w:val="clear" w:color="auto" w:fill="F0E9FA"/>
          </w:tcPr>
          <w:p w14:paraId="5C1C5BB3">
            <w:pPr>
              <w:spacing w:after="40"/>
              <w:jc w:val="center"/>
            </w:pPr>
            <w:r>
              <w:rPr>
                <w:rFonts w:ascii="Arial" w:hAnsi="Arial"/>
                <w:b/>
                <w:sz w:val="16"/>
              </w:rPr>
              <w:t>Review</w:t>
            </w:r>
          </w:p>
          <w:p w14:paraId="3086E73A">
            <w:pPr>
              <w:spacing w:after="20"/>
              <w:jc w:val="center"/>
            </w:pPr>
            <w:r>
              <w:rPr>
                <w:rFonts w:ascii="Arial" w:hAnsi="Arial"/>
                <w:sz w:val="14"/>
              </w:rPr>
              <w:t>Check alerts</w:t>
            </w:r>
          </w:p>
        </w:tc>
        <w:tc>
          <w:tcPr>
            <w:tcW w:w="2056" w:type="dxa"/>
            <w:shd w:val="clear" w:color="auto" w:fill="FBE9ED"/>
          </w:tcPr>
          <w:p w14:paraId="2EACBFFE">
            <w:pPr>
              <w:spacing w:after="40"/>
              <w:jc w:val="center"/>
            </w:pPr>
            <w:r>
              <w:rPr>
                <w:rFonts w:ascii="Arial" w:hAnsi="Arial"/>
                <w:b/>
                <w:sz w:val="16"/>
              </w:rPr>
              <w:t>Validate</w:t>
            </w:r>
          </w:p>
          <w:p w14:paraId="39295479">
            <w:pPr>
              <w:spacing w:after="20"/>
              <w:jc w:val="center"/>
            </w:pPr>
            <w:r>
              <w:rPr>
                <w:rFonts w:ascii="Arial" w:hAnsi="Arial"/>
                <w:sz w:val="14"/>
              </w:rPr>
              <w:t>Confirm findings</w:t>
            </w:r>
          </w:p>
        </w:tc>
      </w:tr>
    </w:tbl>
    <w:p w14:paraId="12EE333F">
      <w:pPr>
        <w:spacing w:after="20"/>
      </w:pPr>
    </w:p>
    <w:p w14:paraId="6D04EFA7">
      <w:pPr>
        <w:pStyle w:val="3"/>
      </w:pPr>
      <w:r>
        <w:t>Passive Scan</w:t>
      </w:r>
    </w:p>
    <w:p w14:paraId="0834D46F">
      <w:pPr>
        <w:pStyle w:val="29"/>
        <w:numPr>
          <w:ilvl w:val="0"/>
          <w:numId w:val="7"/>
        </w:numPr>
        <w:tabs>
          <w:tab w:val="clear" w:pos="425"/>
        </w:tabs>
        <w:ind w:left="425" w:leftChars="0" w:hanging="425" w:firstLineChars="0"/>
      </w:pPr>
      <w:r>
        <w:t>Open ZAP and start a temporary session.</w:t>
      </w:r>
    </w:p>
    <w:p w14:paraId="4F491074">
      <w:pPr>
        <w:pStyle w:val="29"/>
        <w:numPr>
          <w:ilvl w:val="0"/>
          <w:numId w:val="7"/>
        </w:numPr>
        <w:tabs>
          <w:tab w:val="clear" w:pos="425"/>
        </w:tabs>
        <w:ind w:left="425" w:leftChars="0" w:hanging="425" w:firstLineChars="0"/>
      </w:pPr>
      <w:r>
        <w:t>Start a local training target such as OWASP Juice Shop.</w:t>
      </w:r>
    </w:p>
    <w:p w14:paraId="072F3767">
      <w:pPr>
        <w:pStyle w:val="29"/>
        <w:numPr>
          <w:ilvl w:val="0"/>
          <w:numId w:val="7"/>
        </w:numPr>
        <w:tabs>
          <w:tab w:val="clear" w:pos="425"/>
        </w:tabs>
        <w:ind w:left="425" w:leftChars="0" w:hanging="425" w:firstLineChars="0"/>
      </w:pPr>
      <w:r>
        <w:t>Browse the application through ZAP's Manual Explore browser or a browser configured to use ZAP as its proxy.</w:t>
      </w:r>
    </w:p>
    <w:p w14:paraId="211FCA2E">
      <w:pPr>
        <w:pStyle w:val="29"/>
        <w:numPr>
          <w:ilvl w:val="0"/>
          <w:numId w:val="7"/>
        </w:numPr>
        <w:tabs>
          <w:tab w:val="clear" w:pos="425"/>
        </w:tabs>
        <w:ind w:left="425" w:leftChars="0" w:hanging="425" w:firstLineChars="0"/>
      </w:pPr>
      <w:r>
        <w:t>Review the Alerts tab and note the alert name, risk, confidence, affected URL, and evidence.</w:t>
      </w:r>
    </w:p>
    <w:p w14:paraId="70157105">
      <w:pPr>
        <w:pStyle w:val="29"/>
        <w:numPr>
          <w:ilvl w:val="0"/>
          <w:numId w:val="7"/>
        </w:numPr>
        <w:tabs>
          <w:tab w:val="clear" w:pos="425"/>
        </w:tabs>
        <w:ind w:left="425" w:leftChars="0" w:hanging="425" w:firstLineChars="0"/>
      </w:pPr>
      <w:r>
        <w:t>Validate alerts manually; a scanner alert may be a false positive.</w:t>
      </w:r>
    </w:p>
    <w:p w14:paraId="56A53253">
      <w:pPr>
        <w:pStyle w:val="3"/>
      </w:pPr>
      <w:r>
        <w:t>Active Scan – Important Restriction</w:t>
      </w:r>
    </w:p>
    <w:p w14:paraId="6AD0B3B8">
      <w:r>
        <w:t>An active scan sends test requests and may affect application data or availability. Run it only against a local lab or a target covered by explicit written authorization. Keep the scope narrow and follow the approved test plan.</w:t>
      </w:r>
    </w:p>
    <w:p w14:paraId="3C4D6E83">
      <w:pPr>
        <w:pStyle w:val="2"/>
      </w:pPr>
      <w:r>
        <w:t>9. Reporting a Security Finding</w:t>
      </w:r>
    </w:p>
    <w:tbl>
      <w:tblPr>
        <w:tblStyle w:val="12"/>
        <w:tblW w:w="0" w:type="auto"/>
        <w:tblInd w:w="0" w:type="dxa"/>
        <w:tblBorders>
          <w:top w:val="single" w:color="9DB4C8" w:sz="8" w:space="0"/>
          <w:left w:val="single" w:color="9DB4C8" w:sz="8" w:space="0"/>
          <w:bottom w:val="single" w:color="9DB4C8" w:sz="8" w:space="0"/>
          <w:right w:val="single" w:color="9DB4C8" w:sz="8" w:space="0"/>
          <w:insideH w:val="single" w:color="9DB4C8" w:sz="8" w:space="0"/>
          <w:insideV w:val="single" w:color="9DB4C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1"/>
        <w:gridCol w:w="5141"/>
      </w:tblGrid>
      <w:tr w14:paraId="3793000F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1" w:type="dxa"/>
            <w:shd w:val="clear" w:color="auto" w:fill="D7E5F2"/>
            <w:vAlign w:val="center"/>
          </w:tcPr>
          <w:p w14:paraId="7C970CE6">
            <w:pPr>
              <w:spacing w:after="20"/>
            </w:pPr>
            <w:r>
              <w:rPr>
                <w:rFonts w:ascii="Cambria" w:hAnsi="Cambria"/>
                <w:b/>
                <w:sz w:val="18"/>
              </w:rPr>
              <w:t>Field</w:t>
            </w:r>
          </w:p>
        </w:tc>
        <w:tc>
          <w:tcPr>
            <w:tcW w:w="5141" w:type="dxa"/>
            <w:shd w:val="clear" w:color="auto" w:fill="D7E5F2"/>
            <w:vAlign w:val="center"/>
          </w:tcPr>
          <w:p w14:paraId="3A9A01A9">
            <w:pPr>
              <w:spacing w:after="20"/>
            </w:pPr>
            <w:r>
              <w:rPr>
                <w:rFonts w:ascii="Cambria" w:hAnsi="Cambria"/>
                <w:b/>
                <w:sz w:val="18"/>
              </w:rPr>
              <w:t>Details to record</w:t>
            </w:r>
          </w:p>
        </w:tc>
      </w:tr>
      <w:tr w14:paraId="45E68E76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1" w:type="dxa"/>
            <w:vAlign w:val="center"/>
          </w:tcPr>
          <w:p w14:paraId="1AF7C017">
            <w:pPr>
              <w:spacing w:after="20"/>
            </w:pPr>
            <w:r>
              <w:rPr>
                <w:rFonts w:ascii="Cambria" w:hAnsi="Cambria"/>
                <w:b/>
                <w:sz w:val="17"/>
              </w:rPr>
              <w:t>Title</w:t>
            </w:r>
          </w:p>
        </w:tc>
        <w:tc>
          <w:tcPr>
            <w:tcW w:w="5141" w:type="dxa"/>
            <w:vAlign w:val="center"/>
          </w:tcPr>
          <w:p w14:paraId="6CAF849A">
            <w:pPr>
              <w:spacing w:after="20"/>
            </w:pPr>
            <w:r>
              <w:rPr>
                <w:rFonts w:ascii="Cambria" w:hAnsi="Cambria"/>
                <w:b w:val="0"/>
                <w:sz w:val="17"/>
              </w:rPr>
              <w:t>Short and specific issue name.</w:t>
            </w:r>
          </w:p>
        </w:tc>
      </w:tr>
      <w:tr w14:paraId="2C52A568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1" w:type="dxa"/>
            <w:vAlign w:val="center"/>
          </w:tcPr>
          <w:p w14:paraId="2B336D80">
            <w:pPr>
              <w:spacing w:after="20"/>
            </w:pPr>
            <w:r>
              <w:rPr>
                <w:rFonts w:ascii="Cambria" w:hAnsi="Cambria"/>
                <w:b/>
                <w:sz w:val="17"/>
              </w:rPr>
              <w:t>Affected component</w:t>
            </w:r>
          </w:p>
        </w:tc>
        <w:tc>
          <w:tcPr>
            <w:tcW w:w="5141" w:type="dxa"/>
            <w:vAlign w:val="center"/>
          </w:tcPr>
          <w:p w14:paraId="71BAC467">
            <w:pPr>
              <w:spacing w:after="20"/>
            </w:pPr>
            <w:r>
              <w:rPr>
                <w:rFonts w:ascii="Cambria" w:hAnsi="Cambria"/>
                <w:b w:val="0"/>
                <w:sz w:val="17"/>
              </w:rPr>
              <w:t>In-scope URL, endpoint, or feature.</w:t>
            </w:r>
          </w:p>
        </w:tc>
      </w:tr>
      <w:tr w14:paraId="70180A93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1" w:type="dxa"/>
            <w:vAlign w:val="center"/>
          </w:tcPr>
          <w:p w14:paraId="197EA932">
            <w:pPr>
              <w:spacing w:after="20"/>
            </w:pPr>
            <w:r>
              <w:rPr>
                <w:rFonts w:ascii="Cambria" w:hAnsi="Cambria"/>
                <w:b/>
                <w:sz w:val="17"/>
              </w:rPr>
              <w:t>Risk / confidence</w:t>
            </w:r>
          </w:p>
        </w:tc>
        <w:tc>
          <w:tcPr>
            <w:tcW w:w="5141" w:type="dxa"/>
            <w:vAlign w:val="center"/>
          </w:tcPr>
          <w:p w14:paraId="31DF5CD3">
            <w:pPr>
              <w:spacing w:after="20"/>
            </w:pPr>
            <w:r>
              <w:rPr>
                <w:rFonts w:ascii="Cambria" w:hAnsi="Cambria"/>
                <w:b w:val="0"/>
                <w:sz w:val="17"/>
              </w:rPr>
              <w:t>Risk rating and confidence level.</w:t>
            </w:r>
          </w:p>
        </w:tc>
      </w:tr>
      <w:tr w14:paraId="0E665DA7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1" w:type="dxa"/>
            <w:vAlign w:val="center"/>
          </w:tcPr>
          <w:p w14:paraId="0381D385">
            <w:pPr>
              <w:spacing w:after="20"/>
            </w:pPr>
            <w:r>
              <w:rPr>
                <w:rFonts w:ascii="Cambria" w:hAnsi="Cambria"/>
                <w:b/>
                <w:sz w:val="17"/>
              </w:rPr>
              <w:t>Evidence</w:t>
            </w:r>
          </w:p>
        </w:tc>
        <w:tc>
          <w:tcPr>
            <w:tcW w:w="5141" w:type="dxa"/>
            <w:vAlign w:val="center"/>
          </w:tcPr>
          <w:p w14:paraId="4A0990E4">
            <w:pPr>
              <w:spacing w:after="20"/>
            </w:pPr>
            <w:r>
              <w:rPr>
                <w:rFonts w:ascii="Cambria" w:hAnsi="Cambria"/>
                <w:b w:val="0"/>
                <w:sz w:val="17"/>
              </w:rPr>
              <w:t>Redacted screenshot or request/response.</w:t>
            </w:r>
          </w:p>
        </w:tc>
      </w:tr>
      <w:tr w14:paraId="6190038E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1" w:type="dxa"/>
            <w:vAlign w:val="center"/>
          </w:tcPr>
          <w:p w14:paraId="4B545FB7">
            <w:pPr>
              <w:spacing w:after="20"/>
            </w:pPr>
            <w:r>
              <w:rPr>
                <w:rFonts w:ascii="Cambria" w:hAnsi="Cambria"/>
                <w:b/>
                <w:sz w:val="17"/>
              </w:rPr>
              <w:t>Reproduction</w:t>
            </w:r>
          </w:p>
        </w:tc>
        <w:tc>
          <w:tcPr>
            <w:tcW w:w="5141" w:type="dxa"/>
            <w:vAlign w:val="center"/>
          </w:tcPr>
          <w:p w14:paraId="21005E56">
            <w:pPr>
              <w:spacing w:after="20"/>
            </w:pPr>
            <w:r>
              <w:rPr>
                <w:rFonts w:ascii="Cambria" w:hAnsi="Cambria"/>
                <w:b w:val="0"/>
                <w:sz w:val="17"/>
              </w:rPr>
              <w:t>Minimal safe steps to reproduce.</w:t>
            </w:r>
          </w:p>
        </w:tc>
      </w:tr>
      <w:tr w14:paraId="11EA656B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1" w:type="dxa"/>
            <w:vAlign w:val="center"/>
          </w:tcPr>
          <w:p w14:paraId="38D249E1">
            <w:pPr>
              <w:spacing w:after="20"/>
            </w:pPr>
            <w:r>
              <w:rPr>
                <w:rFonts w:ascii="Cambria" w:hAnsi="Cambria"/>
                <w:b/>
                <w:sz w:val="17"/>
              </w:rPr>
              <w:t>Impact</w:t>
            </w:r>
          </w:p>
        </w:tc>
        <w:tc>
          <w:tcPr>
            <w:tcW w:w="5141" w:type="dxa"/>
            <w:vAlign w:val="center"/>
          </w:tcPr>
          <w:p w14:paraId="4A23D6DA">
            <w:pPr>
              <w:spacing w:after="20"/>
            </w:pPr>
            <w:r>
              <w:rPr>
                <w:rFonts w:ascii="Cambria" w:hAnsi="Cambria"/>
                <w:b w:val="0"/>
                <w:sz w:val="17"/>
              </w:rPr>
              <w:t>Potential effect on data, users, or functionality.</w:t>
            </w:r>
          </w:p>
        </w:tc>
      </w:tr>
      <w:tr w14:paraId="032B9A4E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1" w:type="dxa"/>
            <w:vAlign w:val="center"/>
          </w:tcPr>
          <w:p w14:paraId="22F78F62">
            <w:pPr>
              <w:spacing w:after="20"/>
            </w:pPr>
            <w:r>
              <w:rPr>
                <w:rFonts w:ascii="Cambria" w:hAnsi="Cambria"/>
                <w:b/>
                <w:sz w:val="17"/>
              </w:rPr>
              <w:t>Recommendation</w:t>
            </w:r>
          </w:p>
        </w:tc>
        <w:tc>
          <w:tcPr>
            <w:tcW w:w="5141" w:type="dxa"/>
            <w:vAlign w:val="center"/>
          </w:tcPr>
          <w:p w14:paraId="78B79480">
            <w:pPr>
              <w:spacing w:after="20"/>
            </w:pPr>
            <w:r>
              <w:rPr>
                <w:rFonts w:ascii="Cambria" w:hAnsi="Cambria"/>
                <w:b w:val="0"/>
                <w:sz w:val="17"/>
              </w:rPr>
              <w:t>Practical remediation guidance.</w:t>
            </w:r>
          </w:p>
        </w:tc>
      </w:tr>
      <w:tr w14:paraId="7AD565A2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1" w:type="dxa"/>
            <w:vAlign w:val="center"/>
          </w:tcPr>
          <w:p w14:paraId="469C3C08">
            <w:pPr>
              <w:spacing w:after="20"/>
            </w:pPr>
            <w:r>
              <w:rPr>
                <w:rFonts w:ascii="Cambria" w:hAnsi="Cambria"/>
                <w:b/>
                <w:sz w:val="17"/>
              </w:rPr>
              <w:t>Status</w:t>
            </w:r>
          </w:p>
        </w:tc>
        <w:tc>
          <w:tcPr>
            <w:tcW w:w="5141" w:type="dxa"/>
            <w:vAlign w:val="center"/>
          </w:tcPr>
          <w:p w14:paraId="58173CFC">
            <w:pPr>
              <w:spacing w:after="20"/>
            </w:pPr>
            <w:r>
              <w:rPr>
                <w:rFonts w:ascii="Cambria" w:hAnsi="Cambria"/>
                <w:b w:val="0"/>
                <w:sz w:val="17"/>
              </w:rPr>
              <w:t>Open, fixed, retest passed, or false positive.</w:t>
            </w:r>
          </w:p>
        </w:tc>
      </w:tr>
    </w:tbl>
    <w:p w14:paraId="56366161">
      <w:pPr>
        <w:pStyle w:val="2"/>
      </w:pPr>
      <w:r>
        <w:t>10. Tools Introduced</w:t>
      </w:r>
    </w:p>
    <w:tbl>
      <w:tblPr>
        <w:tblStyle w:val="12"/>
        <w:tblW w:w="0" w:type="auto"/>
        <w:tblInd w:w="0" w:type="dxa"/>
        <w:tblBorders>
          <w:top w:val="single" w:color="9DB4C8" w:sz="8" w:space="0"/>
          <w:left w:val="single" w:color="9DB4C8" w:sz="8" w:space="0"/>
          <w:bottom w:val="single" w:color="9DB4C8" w:sz="8" w:space="0"/>
          <w:right w:val="single" w:color="9DB4C8" w:sz="8" w:space="0"/>
          <w:insideH w:val="single" w:color="9DB4C8" w:sz="8" w:space="0"/>
          <w:insideV w:val="single" w:color="9DB4C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0"/>
        <w:gridCol w:w="5120"/>
      </w:tblGrid>
      <w:tr w14:paraId="11CC9725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120" w:type="dxa"/>
            <w:shd w:val="clear" w:color="auto" w:fill="D7E5F2"/>
            <w:vAlign w:val="center"/>
          </w:tcPr>
          <w:p w14:paraId="7DC22825">
            <w:pPr>
              <w:spacing w:after="20"/>
            </w:pPr>
            <w:r>
              <w:rPr>
                <w:rFonts w:ascii="Cambria" w:hAnsi="Cambria"/>
                <w:b/>
                <w:sz w:val="18"/>
              </w:rPr>
              <w:t>Tool</w:t>
            </w:r>
          </w:p>
        </w:tc>
        <w:tc>
          <w:tcPr>
            <w:tcW w:w="5120" w:type="dxa"/>
            <w:shd w:val="clear" w:color="auto" w:fill="D7E5F2"/>
            <w:vAlign w:val="center"/>
          </w:tcPr>
          <w:p w14:paraId="1B8C3812">
            <w:pPr>
              <w:spacing w:after="20"/>
            </w:pPr>
            <w:r>
              <w:rPr>
                <w:rFonts w:ascii="Cambria" w:hAnsi="Cambria"/>
                <w:b/>
                <w:sz w:val="18"/>
              </w:rPr>
              <w:t>Purpose</w:t>
            </w:r>
          </w:p>
        </w:tc>
      </w:tr>
      <w:tr w14:paraId="5AC61C8F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5120" w:type="dxa"/>
            <w:vAlign w:val="center"/>
          </w:tcPr>
          <w:p w14:paraId="0059B5B8">
            <w:pPr>
              <w:spacing w:after="20"/>
            </w:pPr>
            <w:r>
              <w:rPr>
                <w:rFonts w:ascii="Cambria" w:hAnsi="Cambria"/>
                <w:b/>
                <w:sz w:val="17"/>
              </w:rPr>
              <w:t>OWASP ZAP</w:t>
            </w:r>
          </w:p>
        </w:tc>
        <w:tc>
          <w:tcPr>
            <w:tcW w:w="5120" w:type="dxa"/>
            <w:vAlign w:val="center"/>
          </w:tcPr>
          <w:p w14:paraId="7C14D361">
            <w:pPr>
              <w:spacing w:after="20"/>
            </w:pPr>
            <w:r>
              <w:rPr>
                <w:rFonts w:ascii="Cambria" w:hAnsi="Cambria"/>
                <w:b w:val="0"/>
                <w:sz w:val="17"/>
              </w:rPr>
              <w:t>Intercepting proxy and web application security scanning.</w:t>
            </w:r>
          </w:p>
        </w:tc>
      </w:tr>
      <w:tr w14:paraId="421B177A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5120" w:type="dxa"/>
            <w:vAlign w:val="center"/>
          </w:tcPr>
          <w:p w14:paraId="4E3BB0A0">
            <w:pPr>
              <w:spacing w:after="20"/>
            </w:pPr>
            <w:r>
              <w:rPr>
                <w:rFonts w:ascii="Cambria" w:hAnsi="Cambria"/>
                <w:b/>
                <w:sz w:val="17"/>
              </w:rPr>
              <w:t>Burp Suite</w:t>
            </w:r>
          </w:p>
        </w:tc>
        <w:tc>
          <w:tcPr>
            <w:tcW w:w="5120" w:type="dxa"/>
            <w:vAlign w:val="center"/>
          </w:tcPr>
          <w:p w14:paraId="5B067CB4">
            <w:pPr>
              <w:spacing w:after="20"/>
            </w:pPr>
            <w:r>
              <w:rPr>
                <w:rFonts w:ascii="Cambria" w:hAnsi="Cambria"/>
                <w:b w:val="0"/>
                <w:sz w:val="17"/>
              </w:rPr>
              <w:t>Web security testing proxy and manual testing toolkit.</w:t>
            </w:r>
          </w:p>
        </w:tc>
      </w:tr>
      <w:tr w14:paraId="69A8113F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</w:trPr>
        <w:tc>
          <w:tcPr>
            <w:tcW w:w="5120" w:type="dxa"/>
            <w:vAlign w:val="center"/>
          </w:tcPr>
          <w:p w14:paraId="101E198C">
            <w:pPr>
              <w:spacing w:after="20"/>
            </w:pPr>
            <w:r>
              <w:rPr>
                <w:rFonts w:ascii="Cambria" w:hAnsi="Cambria"/>
                <w:b/>
                <w:sz w:val="17"/>
              </w:rPr>
              <w:t>SQLMap</w:t>
            </w:r>
          </w:p>
        </w:tc>
        <w:tc>
          <w:tcPr>
            <w:tcW w:w="5120" w:type="dxa"/>
            <w:vAlign w:val="center"/>
          </w:tcPr>
          <w:p w14:paraId="1E42B7F3">
            <w:pPr>
              <w:spacing w:after="20"/>
            </w:pPr>
            <w:r>
              <w:rPr>
                <w:rFonts w:ascii="Cambria" w:hAnsi="Cambria"/>
                <w:b w:val="0"/>
                <w:sz w:val="17"/>
              </w:rPr>
              <w:t>Automated SQL injection testing tool; use only with explicit authorization.</w:t>
            </w:r>
          </w:p>
        </w:tc>
      </w:tr>
      <w:tr w14:paraId="2FD92498">
        <w:tblPrEx>
          <w:tblBorders>
            <w:top w:val="single" w:color="9DB4C8" w:sz="8" w:space="0"/>
            <w:left w:val="single" w:color="9DB4C8" w:sz="8" w:space="0"/>
            <w:bottom w:val="single" w:color="9DB4C8" w:sz="8" w:space="0"/>
            <w:right w:val="single" w:color="9DB4C8" w:sz="8" w:space="0"/>
            <w:insideH w:val="single" w:color="9DB4C8" w:sz="8" w:space="0"/>
            <w:insideV w:val="single" w:color="9DB4C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5120" w:type="dxa"/>
            <w:vAlign w:val="center"/>
          </w:tcPr>
          <w:p w14:paraId="4712F6CB">
            <w:pPr>
              <w:spacing w:after="20"/>
            </w:pPr>
            <w:r>
              <w:rPr>
                <w:rFonts w:ascii="Cambria" w:hAnsi="Cambria"/>
                <w:b/>
                <w:sz w:val="17"/>
              </w:rPr>
              <w:t>Nikto</w:t>
            </w:r>
          </w:p>
        </w:tc>
        <w:tc>
          <w:tcPr>
            <w:tcW w:w="5120" w:type="dxa"/>
            <w:vAlign w:val="center"/>
          </w:tcPr>
          <w:p w14:paraId="1B90AA93">
            <w:pPr>
              <w:spacing w:after="20"/>
            </w:pPr>
            <w:r>
              <w:rPr>
                <w:rFonts w:ascii="Cambria" w:hAnsi="Cambria"/>
                <w:b w:val="0"/>
                <w:sz w:val="17"/>
              </w:rPr>
              <w:t>Web server configuration and known-issue scanner; use only within approved scope.</w:t>
            </w:r>
          </w:p>
        </w:tc>
      </w:tr>
    </w:tbl>
    <w:p w14:paraId="0BDF074A">
      <w:r>
        <w:br w:type="page"/>
      </w:r>
    </w:p>
    <w:p w14:paraId="3FDB6480">
      <w:pPr>
        <w:pStyle w:val="2"/>
      </w:pPr>
      <w:r>
        <w:t>11. Practice Assignment</w:t>
      </w:r>
      <w:bookmarkStart w:id="0" w:name="_GoBack"/>
      <w:bookmarkEnd w:id="0"/>
    </w:p>
    <w:p w14:paraId="576856BE">
      <w:pPr>
        <w:pStyle w:val="29"/>
        <w:numPr>
          <w:ilvl w:val="0"/>
          <w:numId w:val="8"/>
        </w:numPr>
        <w:tabs>
          <w:tab w:val="clear" w:pos="425"/>
        </w:tabs>
        <w:ind w:left="425" w:leftChars="0" w:hanging="425" w:firstLineChars="0"/>
      </w:pPr>
      <w:r>
        <w:t>Review the OWASP Top 10 (2021) and write a short meaning for each category.</w:t>
      </w:r>
    </w:p>
    <w:p w14:paraId="07E2FD87">
      <w:pPr>
        <w:pStyle w:val="29"/>
        <w:numPr>
          <w:ilvl w:val="0"/>
          <w:numId w:val="8"/>
        </w:numPr>
        <w:tabs>
          <w:tab w:val="clear" w:pos="425"/>
        </w:tabs>
        <w:ind w:left="425" w:leftChars="0" w:hanging="425" w:firstLineChars="0"/>
      </w:pPr>
      <w:r>
        <w:t>Select an intentionally vulnerable local application or another explicitly authorized target.</w:t>
      </w:r>
    </w:p>
    <w:p w14:paraId="4FD557FE">
      <w:pPr>
        <w:pStyle w:val="29"/>
        <w:numPr>
          <w:ilvl w:val="0"/>
          <w:numId w:val="8"/>
        </w:numPr>
        <w:tabs>
          <w:tab w:val="clear" w:pos="425"/>
        </w:tabs>
        <w:ind w:left="425" w:leftChars="0" w:hanging="425" w:firstLineChars="0"/>
      </w:pPr>
      <w:r>
        <w:t>Prepare security test cases for login, access control, input validation, session handling, and error handling.</w:t>
      </w:r>
    </w:p>
    <w:p w14:paraId="7BF46674">
      <w:pPr>
        <w:pStyle w:val="29"/>
        <w:numPr>
          <w:ilvl w:val="0"/>
          <w:numId w:val="8"/>
        </w:numPr>
        <w:tabs>
          <w:tab w:val="clear" w:pos="425"/>
        </w:tabs>
        <w:ind w:left="425" w:leftChars="0" w:hanging="425" w:firstLineChars="0"/>
      </w:pPr>
      <w:r>
        <w:t>Execute the relevant checks using safe test data.</w:t>
      </w:r>
    </w:p>
    <w:p w14:paraId="0B1ABAD7">
      <w:pPr>
        <w:pStyle w:val="29"/>
        <w:numPr>
          <w:ilvl w:val="0"/>
          <w:numId w:val="8"/>
        </w:numPr>
        <w:tabs>
          <w:tab w:val="clear" w:pos="425"/>
        </w:tabs>
        <w:ind w:left="425" w:leftChars="0" w:hanging="425" w:firstLineChars="0"/>
      </w:pPr>
      <w:r>
        <w:t>Run a ZAP passive scan while browsing the lab application.</w:t>
      </w:r>
    </w:p>
    <w:p w14:paraId="500488CC">
      <w:pPr>
        <w:pStyle w:val="29"/>
        <w:numPr>
          <w:ilvl w:val="0"/>
          <w:numId w:val="8"/>
        </w:numPr>
        <w:tabs>
          <w:tab w:val="clear" w:pos="425"/>
        </w:tabs>
        <w:ind w:left="425" w:leftChars="0" w:hanging="425" w:firstLineChars="0"/>
      </w:pPr>
      <w:r>
        <w:t>Review and validate the alerts; record false positives where applicable.</w:t>
      </w:r>
    </w:p>
    <w:p w14:paraId="4D112195">
      <w:pPr>
        <w:pStyle w:val="29"/>
        <w:numPr>
          <w:ilvl w:val="0"/>
          <w:numId w:val="8"/>
        </w:numPr>
        <w:tabs>
          <w:tab w:val="clear" w:pos="425"/>
        </w:tabs>
        <w:ind w:left="425" w:leftChars="0" w:hanging="425" w:firstLineChars="0"/>
      </w:pPr>
      <w:r>
        <w:t>Prepare a concise security test report with evidence, impact, and recommendations.</w:t>
      </w:r>
    </w:p>
    <w:p w14:paraId="0C258078">
      <w:pPr>
        <w:pStyle w:val="2"/>
      </w:pPr>
      <w:r>
        <w:t>12. Expected Deliverables</w:t>
      </w:r>
    </w:p>
    <w:p w14:paraId="72FC5F96">
      <w:pPr>
        <w:pStyle w:val="23"/>
      </w:pPr>
      <w:r>
        <w:t>OWASP Top 10 study notes.</w:t>
      </w:r>
    </w:p>
    <w:p w14:paraId="4F21EAF4">
      <w:pPr>
        <w:pStyle w:val="23"/>
      </w:pPr>
      <w:r>
        <w:t>Security test case sheet with execution status.</w:t>
      </w:r>
    </w:p>
    <w:p w14:paraId="7C2D7AEA">
      <w:pPr>
        <w:pStyle w:val="23"/>
      </w:pPr>
      <w:r>
        <w:t>Completed security testing checklist.</w:t>
      </w:r>
    </w:p>
    <w:p w14:paraId="36A8A0E1">
      <w:pPr>
        <w:pStyle w:val="23"/>
      </w:pPr>
      <w:r>
        <w:t>ZAP passive scan observations and reviewed alerts.</w:t>
      </w:r>
    </w:p>
    <w:p w14:paraId="3E8840A7">
      <w:pPr>
        <w:pStyle w:val="23"/>
      </w:pPr>
      <w:r>
        <w:t>Security findings report with redacted evidence.</w:t>
      </w:r>
    </w:p>
    <w:p w14:paraId="54BD2422">
      <w:pPr>
        <w:pStyle w:val="2"/>
      </w:pPr>
      <w:r>
        <w:t>13. GitHub Project Structure</w:t>
      </w:r>
    </w:p>
    <w:p w14:paraId="37E484FE">
      <w:pPr>
        <w:ind w:left="360"/>
      </w:pPr>
      <w:r>
        <w:rPr>
          <w:rFonts w:ascii="Consolas" w:hAnsi="Consolas"/>
          <w:sz w:val="18"/>
        </w:rPr>
        <w:t>Day-16-Security-Testing/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README.md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README.docx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Test-Cases/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Security-Test-Cases.csv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OWASP-Top-10/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OWASP-Top-10-Notes.md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ZAP-Practice/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ZAP-Beginner-Guide.md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Checklists/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Security-Testing-Checklist.md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 Evidence/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└── Redacted-Test-Evidence/</w:t>
      </w:r>
    </w:p>
    <w:p w14:paraId="698DDAC2">
      <w:pPr>
        <w:pStyle w:val="2"/>
      </w:pPr>
      <w:r>
        <w:t>14. Important Safety Rules</w:t>
      </w:r>
    </w:p>
    <w:p w14:paraId="5C53E082">
      <w:pPr>
        <w:pStyle w:val="23"/>
      </w:pPr>
      <w:r>
        <w:t>Test only systems you own or have explicit written permission to assess.</w:t>
      </w:r>
    </w:p>
    <w:p w14:paraId="3A4BB83F">
      <w:pPr>
        <w:pStyle w:val="23"/>
      </w:pPr>
      <w:r>
        <w:t>Use local training applications for active scans and intentionally intrusive tests.</w:t>
      </w:r>
    </w:p>
    <w:p w14:paraId="7A83B276">
      <w:pPr>
        <w:pStyle w:val="23"/>
      </w:pPr>
      <w:r>
        <w:t>Do not run SQLMap, brute-force attempts, or active scans against public services without written authorization.</w:t>
      </w:r>
    </w:p>
    <w:p w14:paraId="1F62916C">
      <w:pPr>
        <w:pStyle w:val="23"/>
      </w:pPr>
      <w:r>
        <w:t>Never include passwords, access tokens, or personal data in evidence.</w:t>
      </w:r>
    </w:p>
    <w:p w14:paraId="1B6B3F3C">
      <w:pPr>
        <w:pStyle w:val="23"/>
      </w:pPr>
      <w:r>
        <w:t>Keep testing within the approved target, accounts, time window, and methods.</w:t>
      </w:r>
    </w:p>
    <w:p w14:paraId="6FD75811">
      <w:pPr>
        <w:pStyle w:val="2"/>
      </w:pPr>
      <w:r>
        <w:t>15. Conclusion</w:t>
      </w:r>
    </w:p>
    <w:p w14:paraId="270CE03E">
      <w:r>
        <w:t>Security testing helps ensure that an application is not only functional but also protects its users and data. This Day 16 practical introduces OWASP risk categories, basic security test design, a checklist-based approach, and introductory ZAP passive scanning. The main outcome is the ability to identify, validate, and communicate potential security issues responsibly.</w:t>
      </w:r>
    </w:p>
    <w:sectPr>
      <w:headerReference r:id="rId5" w:type="default"/>
      <w:footerReference r:id="rId6" w:type="default"/>
      <w:pgSz w:w="12240" w:h="15840"/>
      <w:pgMar w:top="835" w:right="979" w:bottom="835" w:left="97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371CC">
    <w:pPr>
      <w:pStyle w:val="18"/>
      <w:jc w:val="center"/>
    </w:pPr>
    <w:r>
      <w:rPr>
        <w:color w:val="6E6E6E"/>
        <w:sz w:val="16"/>
      </w:rPr>
      <w:t>Security Testing  •  README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586AED">
    <w:pPr>
      <w:pStyle w:val="19"/>
    </w:pPr>
    <w:r>
      <w:rPr>
        <w:color w:val="6E6E6E"/>
        <w:sz w:val="16"/>
      </w:rPr>
      <w:t>DAY 16  |  SECURITY TESTING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CF87FD"/>
    <w:multiLevelType w:val="singleLevel"/>
    <w:tmpl w:val="9DCF87F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41462B1"/>
    <w:multiLevelType w:val="singleLevel"/>
    <w:tmpl w:val="E41462B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DE0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Cambria" w:hAnsi="Cambria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F5478"/>
      <w:sz w:val="3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478"/>
      <w:sz w:val="22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2F5478"/>
      <w:spacing w:val="5"/>
      <w:kern w:val="28"/>
      <w:sz w:val="48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1297</Words>
  <Characters>7855</Characters>
  <Lines>0</Lines>
  <Paragraphs>0</Paragraphs>
  <TotalTime>14</TotalTime>
  <ScaleCrop>false</ScaleCrop>
  <LinksUpToDate>false</LinksUpToDate>
  <CharactersWithSpaces>8939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Nagendra Bondu</cp:lastModifiedBy>
  <dcterms:modified xsi:type="dcterms:W3CDTF">2026-10-31T12:55:35Z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eyJoZGlkIjoiMzcyODMxYTE0ZTc0ZGU3Y2QwODc3MzYzN2Q1YmNiM2EiLCJ1c2VySWQiOiI1NjczODU1NzY2MjMifQ==</vt:lpwstr>
  </property>
  <property fmtid="{D5CDD505-2E9C-101B-9397-08002B2CF9AE}" pid="3" name="KSOProductBuildVer">
    <vt:lpwstr>1033-12.1.0.29162</vt:lpwstr>
  </property>
  <property fmtid="{D5CDD505-2E9C-101B-9397-08002B2CF9AE}" pid="4" name="ICV">
    <vt:lpwstr>E7D4C8F048A844B1BA9838540514355A_12</vt:lpwstr>
  </property>
</Properties>
</file>