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4 - Architecture Principles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4.1 Executive Overview</w:t>
      </w:r>
    </w:p>
    <w:p>
      <w:r>
        <w:t>Architecture principles are mandatory rules that guide every technical decision in the platform. They ensure consistency across services, AI components, databases, APIs, and deployments.</w:t>
      </w:r>
    </w:p>
    <w:p>
      <w:pPr>
        <w:pStyle w:val="Heading3"/>
      </w:pPr>
      <w:r>
        <w:t>4.2 Core Architecture Principles</w:t>
      </w:r>
    </w:p>
    <w:p>
      <w:pPr>
        <w:pStyle w:val="Heading4"/>
      </w:pPr>
      <w:r>
        <w:t>Principle 1: API-First</w:t>
      </w:r>
    </w:p>
    <w:p>
      <w:r>
        <w:t>Statement: Every business capability is exposed through well-defined APIs before UI implementation.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2: Domain-Driven Design</w:t>
      </w:r>
    </w:p>
    <w:p>
      <w:r>
        <w:t>Statement: Business capabilities are modeled as bounded contexts with clear ownership.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3: AI-First</w:t>
      </w:r>
    </w:p>
    <w:p>
      <w:r>
        <w:t>Statement: AI capabilities are reusable platform services, not embedded directly into business modules.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4: Cloud-Native</w:t>
      </w:r>
    </w:p>
    <w:p>
      <w:r>
        <w:t>Statement: Services are designed for containers, automation, and horizontal scaling.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5: Multi-Tenant by Design</w:t>
      </w:r>
    </w:p>
    <w:p>
      <w:r>
        <w:t>Statement: Every component enforces tenant isolation from the beginning.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6: Database per Ownership</w:t>
      </w:r>
    </w:p>
    <w:p>
      <w:r>
        <w:t>Statement: Each business capability owns its persistent data and schema.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7: Provider Independence</w:t>
      </w:r>
    </w:p>
    <w:p>
      <w:r>
        <w:t>Statement: AI Gateway and Model Registry decouple the platform from AI vendors.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8: Security by Default</w:t>
      </w:r>
    </w:p>
    <w:p>
      <w:r>
        <w:t>Statement: Authentication, authorization, encryption, and auditing are built in.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9: Observability by Default</w:t>
      </w:r>
    </w:p>
    <w:p>
      <w:r>
        <w:t>Statement: Every service exposes logs, metrics, traces, and health endpoints.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4"/>
      </w:pPr>
      <w:r>
        <w:t>Principle 10: Documentation Before Implementation</w:t>
      </w:r>
    </w:p>
    <w:p>
      <w:r>
        <w:t>Statement: Major architectural decisions are documented and reviewed before coding.</w:t>
      </w:r>
    </w:p>
    <w:p>
      <w:r>
        <w:t>Implementation Guidance:</w:t>
      </w:r>
    </w:p>
    <w:p>
      <w:pPr>
        <w:pStyle w:val="ListBullet"/>
      </w:pPr>
      <w:r>
        <w:t>Apply this principle consistently across Spring Boot services, PostgreSQL design, LangChain4j integration, APIs, and deployment automation.</w:t>
      </w:r>
    </w:p>
    <w:p>
      <w:pPr>
        <w:pStyle w:val="Heading3"/>
      </w:pPr>
      <w:r>
        <w:t>4.3 Architecture Decision Traceability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Primary Platform Impact</w:t>
            </w:r>
          </w:p>
        </w:tc>
      </w:tr>
      <w:tr>
        <w:tc>
          <w:tcPr>
            <w:tcW w:type="dxa" w:w="4320"/>
          </w:tcPr>
          <w:p>
            <w:r>
              <w:t>AI-First</w:t>
            </w:r>
          </w:p>
        </w:tc>
        <w:tc>
          <w:tcPr>
            <w:tcW w:type="dxa" w:w="4320"/>
          </w:tcPr>
          <w:p>
            <w:r>
              <w:t>AI Gateway, Agents, RAG, Embeddings</w:t>
            </w:r>
          </w:p>
        </w:tc>
      </w:tr>
      <w:tr>
        <w:tc>
          <w:tcPr>
            <w:tcW w:type="dxa" w:w="4320"/>
          </w:tcPr>
          <w:p>
            <w:r>
              <w:t>DDD</w:t>
            </w:r>
          </w:p>
        </w:tc>
        <w:tc>
          <w:tcPr>
            <w:tcW w:type="dxa" w:w="4320"/>
          </w:tcPr>
          <w:p>
            <w:r>
              <w:t>Microservices, Domain Model</w:t>
            </w:r>
          </w:p>
        </w:tc>
      </w:tr>
      <w:tr>
        <w:tc>
          <w:tcPr>
            <w:tcW w:type="dxa" w:w="4320"/>
          </w:tcPr>
          <w:p>
            <w:r>
              <w:t>Multi-Tenant</w:t>
            </w:r>
          </w:p>
        </w:tc>
        <w:tc>
          <w:tcPr>
            <w:tcW w:type="dxa" w:w="4320"/>
          </w:tcPr>
          <w:p>
            <w:r>
              <w:t>Security, Database, APIs</w:t>
            </w:r>
          </w:p>
        </w:tc>
      </w:tr>
      <w:tr>
        <w:tc>
          <w:tcPr>
            <w:tcW w:type="dxa" w:w="4320"/>
          </w:tcPr>
          <w:p>
            <w:r>
              <w:t>Provider Independence</w:t>
            </w:r>
          </w:p>
        </w:tc>
        <w:tc>
          <w:tcPr>
            <w:tcW w:type="dxa" w:w="4320"/>
          </w:tcPr>
          <w:p>
            <w:r>
              <w:t>AI Gateway, Model Registry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Operations, Monitoring</w:t>
            </w:r>
          </w:p>
        </w:tc>
      </w:tr>
      <w:tr>
        <w:tc>
          <w:tcPr>
            <w:tcW w:type="dxa" w:w="4320"/>
          </w:tcPr>
          <w:p>
            <w:r>
              <w:t>API-First</w:t>
            </w:r>
          </w:p>
        </w:tc>
        <w:tc>
          <w:tcPr>
            <w:tcW w:type="dxa" w:w="4320"/>
          </w:tcPr>
          <w:p>
            <w:r>
              <w:t>REST APIs, Integrations</w:t>
            </w:r>
          </w:p>
        </w:tc>
      </w:tr>
    </w:tbl>
    <w:p>
      <w:pPr>
        <w:pStyle w:val="Heading3"/>
      </w:pPr>
      <w:r>
        <w:t>4.4 Summary</w:t>
      </w:r>
    </w:p>
    <w:p>
      <w:r>
        <w:t>These principles form the architectural contract for the platform. Future specifications, implementation, reviews, and ADRs must align with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