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Sales Employee Platform</w:t>
      </w:r>
    </w:p>
    <w:p>
      <w:pPr>
        <w:pStyle w:val="Heading1"/>
      </w:pPr>
      <w:r>
        <w:t>ARCH-001 v2 - Enterprise Architecture Master Specification</w:t>
      </w:r>
    </w:p>
    <w:p>
      <w:pPr>
        <w:pStyle w:val="Heading2"/>
      </w:pPr>
      <w:r>
        <w:t>Chapter 11 - Domain-Driven Design</w:t>
      </w:r>
    </w:p>
    <w:p>
      <w:r>
        <w:rPr>
          <w:b/>
        </w:rPr>
        <w:t xml:space="preserve">Version: </w:t>
      </w:r>
      <w:r>
        <w:t>2.0</w:t>
        <w:br/>
      </w:r>
      <w:r>
        <w:rPr>
          <w:b/>
        </w:rPr>
        <w:t xml:space="preserve">Status: </w:t>
      </w:r>
      <w:r>
        <w:t>Working Draft</w:t>
      </w:r>
    </w:p>
    <w:p>
      <w:pPr>
        <w:pStyle w:val="Heading3"/>
      </w:pPr>
      <w:r>
        <w:t>11.1 Executive Overview</w:t>
      </w:r>
    </w:p>
    <w:p>
      <w:r>
        <w:t>Domain-Driven Design (DDD) is the primary modeling approach for the AI Sales Employee Platform. Business capabilities are organized into bounded contexts with clear ownership, aggregate boundaries, domain events, and service interactions.</w:t>
      </w:r>
    </w:p>
    <w:p>
      <w:pPr>
        <w:pStyle w:val="Heading3"/>
      </w:pPr>
      <w:r>
        <w:t>11.2 Bounded Contexts</w:t>
      </w:r>
    </w:p>
    <w:tbl>
      <w:tblPr>
        <w:tblW w:type="auto" w:w="0"/>
        <w:tblLook w:firstColumn="1" w:firstRow="1" w:lastColumn="0" w:lastRow="0" w:noHBand="0" w:noVBand="1" w:val="04A0"/>
      </w:tblPr>
      <w:tblGrid>
        <w:gridCol w:w="4320"/>
        <w:gridCol w:w="4320"/>
      </w:tblGrid>
      <w:tr>
        <w:tc>
          <w:tcPr>
            <w:tcW w:type="dxa" w:w="4320"/>
          </w:tcPr>
          <w:p>
            <w:r>
              <w:t>Bounded Context</w:t>
            </w:r>
          </w:p>
        </w:tc>
        <w:tc>
          <w:tcPr>
            <w:tcW w:type="dxa" w:w="4320"/>
          </w:tcPr>
          <w:p>
            <w:r>
              <w:t>Primary Domain</w:t>
            </w:r>
          </w:p>
        </w:tc>
      </w:tr>
      <w:tr>
        <w:tc>
          <w:tcPr>
            <w:tcW w:type="dxa" w:w="4320"/>
          </w:tcPr>
          <w:p>
            <w:r>
              <w:t>Identity</w:t>
            </w:r>
          </w:p>
        </w:tc>
        <w:tc>
          <w:tcPr>
            <w:tcW w:type="dxa" w:w="4320"/>
          </w:tcPr>
          <w:p>
            <w:r>
              <w:t>Users, roles, permissions</w:t>
            </w:r>
          </w:p>
        </w:tc>
      </w:tr>
      <w:tr>
        <w:tc>
          <w:tcPr>
            <w:tcW w:type="dxa" w:w="4320"/>
          </w:tcPr>
          <w:p>
            <w:r>
              <w:t>Tenant</w:t>
            </w:r>
          </w:p>
        </w:tc>
        <w:tc>
          <w:tcPr>
            <w:tcW w:type="dxa" w:w="4320"/>
          </w:tcPr>
          <w:p>
            <w:r>
              <w:t>Tenant lifecycle and configuration</w:t>
            </w:r>
          </w:p>
        </w:tc>
      </w:tr>
      <w:tr>
        <w:tc>
          <w:tcPr>
            <w:tcW w:type="dxa" w:w="4320"/>
          </w:tcPr>
          <w:p>
            <w:r>
              <w:t>CRM</w:t>
            </w:r>
          </w:p>
        </w:tc>
        <w:tc>
          <w:tcPr>
            <w:tcW w:type="dxa" w:w="4320"/>
          </w:tcPr>
          <w:p>
            <w:r>
              <w:t>Leads, customers, opportunities</w:t>
            </w:r>
          </w:p>
        </w:tc>
      </w:tr>
      <w:tr>
        <w:tc>
          <w:tcPr>
            <w:tcW w:type="dxa" w:w="4320"/>
          </w:tcPr>
          <w:p>
            <w:r>
              <w:t>Catalog</w:t>
            </w:r>
          </w:p>
        </w:tc>
        <w:tc>
          <w:tcPr>
            <w:tcW w:type="dxa" w:w="4320"/>
          </w:tcPr>
          <w:p>
            <w:r>
              <w:t>Properties, projects, pricing</w:t>
            </w:r>
          </w:p>
        </w:tc>
      </w:tr>
      <w:tr>
        <w:tc>
          <w:tcPr>
            <w:tcW w:type="dxa" w:w="4320"/>
          </w:tcPr>
          <w:p>
            <w:r>
              <w:t>Conversation</w:t>
            </w:r>
          </w:p>
        </w:tc>
        <w:tc>
          <w:tcPr>
            <w:tcW w:type="dxa" w:w="4320"/>
          </w:tcPr>
          <w:p>
            <w:r>
              <w:t>Omnichannel messaging</w:t>
            </w:r>
          </w:p>
        </w:tc>
      </w:tr>
      <w:tr>
        <w:tc>
          <w:tcPr>
            <w:tcW w:type="dxa" w:w="4320"/>
          </w:tcPr>
          <w:p>
            <w:r>
              <w:t>Workflow</w:t>
            </w:r>
          </w:p>
        </w:tc>
        <w:tc>
          <w:tcPr>
            <w:tcW w:type="dxa" w:w="4320"/>
          </w:tcPr>
          <w:p>
            <w:r>
              <w:t>Business automation</w:t>
            </w:r>
          </w:p>
        </w:tc>
      </w:tr>
      <w:tr>
        <w:tc>
          <w:tcPr>
            <w:tcW w:type="dxa" w:w="4320"/>
          </w:tcPr>
          <w:p>
            <w:r>
              <w:t>Appointment</w:t>
            </w:r>
          </w:p>
        </w:tc>
        <w:tc>
          <w:tcPr>
            <w:tcW w:type="dxa" w:w="4320"/>
          </w:tcPr>
          <w:p>
            <w:r>
              <w:t>Scheduling</w:t>
            </w:r>
          </w:p>
        </w:tc>
      </w:tr>
      <w:tr>
        <w:tc>
          <w:tcPr>
            <w:tcW w:type="dxa" w:w="4320"/>
          </w:tcPr>
          <w:p>
            <w:r>
              <w:t>Notification</w:t>
            </w:r>
          </w:p>
        </w:tc>
        <w:tc>
          <w:tcPr>
            <w:tcW w:type="dxa" w:w="4320"/>
          </w:tcPr>
          <w:p>
            <w:r>
              <w:t>Email, SMS, WhatsApp</w:t>
            </w:r>
          </w:p>
        </w:tc>
      </w:tr>
      <w:tr>
        <w:tc>
          <w:tcPr>
            <w:tcW w:type="dxa" w:w="4320"/>
          </w:tcPr>
          <w:p>
            <w:r>
              <w:t>Analytics</w:t>
            </w:r>
          </w:p>
        </w:tc>
        <w:tc>
          <w:tcPr>
            <w:tcW w:type="dxa" w:w="4320"/>
          </w:tcPr>
          <w:p>
            <w:r>
              <w:t>KPIs and reporting</w:t>
            </w:r>
          </w:p>
        </w:tc>
      </w:tr>
      <w:tr>
        <w:tc>
          <w:tcPr>
            <w:tcW w:type="dxa" w:w="4320"/>
          </w:tcPr>
          <w:p>
            <w:r>
              <w:t>AI Platform</w:t>
            </w:r>
          </w:p>
        </w:tc>
        <w:tc>
          <w:tcPr>
            <w:tcW w:type="dxa" w:w="4320"/>
          </w:tcPr>
          <w:p>
            <w:r>
              <w:t>Gateway, RAG, Search, Agents</w:t>
            </w:r>
          </w:p>
        </w:tc>
      </w:tr>
    </w:tbl>
    <w:p>
      <w:pPr>
        <w:pStyle w:val="Heading3"/>
      </w:pPr>
      <w:r>
        <w:t>11.3 Aggregate Roots</w:t>
      </w:r>
    </w:p>
    <w:p>
      <w:pPr>
        <w:pStyle w:val="ListBullet"/>
      </w:pPr>
      <w:r>
        <w:t>Tenant</w:t>
      </w:r>
    </w:p>
    <w:p>
      <w:pPr>
        <w:pStyle w:val="ListBullet"/>
      </w:pPr>
      <w:r>
        <w:t>User</w:t>
      </w:r>
    </w:p>
    <w:p>
      <w:pPr>
        <w:pStyle w:val="ListBullet"/>
      </w:pPr>
      <w:r>
        <w:t>Lead</w:t>
      </w:r>
    </w:p>
    <w:p>
      <w:pPr>
        <w:pStyle w:val="ListBullet"/>
      </w:pPr>
      <w:r>
        <w:t>Customer</w:t>
      </w:r>
    </w:p>
    <w:p>
      <w:pPr>
        <w:pStyle w:val="ListBullet"/>
      </w:pPr>
      <w:r>
        <w:t>Property</w:t>
      </w:r>
    </w:p>
    <w:p>
      <w:pPr>
        <w:pStyle w:val="ListBullet"/>
      </w:pPr>
      <w:r>
        <w:t>Conversation</w:t>
      </w:r>
    </w:p>
    <w:p>
      <w:pPr>
        <w:pStyle w:val="ListBullet"/>
      </w:pPr>
      <w:r>
        <w:t>Workflow</w:t>
      </w:r>
    </w:p>
    <w:p>
      <w:pPr>
        <w:pStyle w:val="ListBullet"/>
      </w:pPr>
      <w:r>
        <w:t>Appointment</w:t>
      </w:r>
    </w:p>
    <w:p>
      <w:pPr>
        <w:pStyle w:val="ListBullet"/>
      </w:pPr>
      <w:r>
        <w:t>Knowledge Document</w:t>
      </w:r>
    </w:p>
    <w:p>
      <w:pPr>
        <w:pStyle w:val="ListBullet"/>
      </w:pPr>
      <w:r>
        <w:t>Prompt</w:t>
      </w:r>
    </w:p>
    <w:p>
      <w:pPr>
        <w:pStyle w:val="ListBullet"/>
      </w:pPr>
      <w:r>
        <w:t>AI Agent</w:t>
      </w:r>
    </w:p>
    <w:p>
      <w:pPr>
        <w:pStyle w:val="Heading3"/>
      </w:pPr>
      <w:r>
        <w:t>11.4 Domain Events</w:t>
      </w:r>
    </w:p>
    <w:p>
      <w:pPr>
        <w:pStyle w:val="ListBullet"/>
      </w:pPr>
      <w:r>
        <w:t>LeadCreated</w:t>
      </w:r>
    </w:p>
    <w:p>
      <w:pPr>
        <w:pStyle w:val="ListBullet"/>
      </w:pPr>
      <w:r>
        <w:t>LeadQualified</w:t>
      </w:r>
    </w:p>
    <w:p>
      <w:pPr>
        <w:pStyle w:val="ListBullet"/>
      </w:pPr>
      <w:r>
        <w:t>CustomerCreated</w:t>
      </w:r>
    </w:p>
    <w:p>
      <w:pPr>
        <w:pStyle w:val="ListBullet"/>
      </w:pPr>
      <w:r>
        <w:t>ConversationStarted</w:t>
      </w:r>
    </w:p>
    <w:p>
      <w:pPr>
        <w:pStyle w:val="ListBullet"/>
      </w:pPr>
      <w:r>
        <w:t>AppointmentBooked</w:t>
      </w:r>
    </w:p>
    <w:p>
      <w:pPr>
        <w:pStyle w:val="ListBullet"/>
      </w:pPr>
      <w:r>
        <w:t>WorkflowCompleted</w:t>
      </w:r>
    </w:p>
    <w:p>
      <w:pPr>
        <w:pStyle w:val="ListBullet"/>
      </w:pPr>
      <w:r>
        <w:t>KnowledgeIndexed</w:t>
      </w:r>
    </w:p>
    <w:p>
      <w:pPr>
        <w:pStyle w:val="ListBullet"/>
      </w:pPr>
      <w:r>
        <w:t>EmbeddingGenerated</w:t>
      </w:r>
    </w:p>
    <w:p>
      <w:pPr>
        <w:pStyle w:val="ListBullet"/>
      </w:pPr>
      <w:r>
        <w:t>NotificationSent</w:t>
      </w:r>
    </w:p>
    <w:p>
      <w:pPr>
        <w:pStyle w:val="Heading3"/>
      </w:pPr>
      <w:r>
        <w:t>11.5 Ownership Rules</w:t>
      </w:r>
    </w:p>
    <w:p>
      <w:pPr>
        <w:pStyle w:val="ListBullet"/>
      </w:pPr>
      <w:r>
        <w:t>Each bounded context owns its database tables.</w:t>
      </w:r>
    </w:p>
    <w:p>
      <w:pPr>
        <w:pStyle w:val="ListBullet"/>
      </w:pPr>
      <w:r>
        <w:t>Cross-context database access is prohibited.</w:t>
      </w:r>
    </w:p>
    <w:p>
      <w:pPr>
        <w:pStyle w:val="ListBullet"/>
      </w:pPr>
      <w:r>
        <w:t>Communication occurs through APIs or domain events.</w:t>
      </w:r>
    </w:p>
    <w:p>
      <w:pPr>
        <w:pStyle w:val="ListBullet"/>
      </w:pPr>
      <w:r>
        <w:t>Aggregates enforce business consistency.</w:t>
      </w:r>
    </w:p>
    <w:p>
      <w:pPr>
        <w:pStyle w:val="ListBullet"/>
      </w:pPr>
      <w:r>
        <w:t>AI capabilities support domains but do not own business rules.</w:t>
      </w:r>
    </w:p>
    <w:p>
      <w:pPr>
        <w:pStyle w:val="Heading3"/>
      </w:pPr>
      <w:r>
        <w:t>11.6 Mapping to Platform Modules</w:t>
      </w:r>
    </w:p>
    <w:p>
      <w:r>
        <w:t>Every bounded context maps to one primary platform module and can evolve into an independent microservice without changing domain ownership.</w:t>
      </w:r>
    </w:p>
    <w:p>
      <w:pPr>
        <w:pStyle w:val="Heading3"/>
      </w:pPr>
      <w:r>
        <w:t>11.7 Summary</w:t>
      </w:r>
    </w:p>
    <w:p>
      <w:r>
        <w:t>DDD provides stable business boundaries, minimizes coupling, and enables scalable evolution of both the monolithic modular architecture and future microservices.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