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ARCH-001 v2 - Enterprise Architecture Master Specification</w:t>
      </w:r>
    </w:p>
    <w:p>
      <w:pPr>
        <w:pStyle w:val="Heading2"/>
      </w:pPr>
      <w:r>
        <w:t>Chapter 12 - AI Platform Deep Architecture</w:t>
      </w:r>
    </w:p>
    <w:p>
      <w:r>
        <w:rPr>
          <w:b/>
        </w:rPr>
        <w:t xml:space="preserve">Version: </w:t>
      </w:r>
      <w:r>
        <w:t>2.0</w:t>
        <w:br/>
      </w:r>
      <w:r>
        <w:rPr>
          <w:b/>
        </w:rPr>
        <w:t xml:space="preserve">Status: </w:t>
      </w:r>
      <w:r>
        <w:t>Working Draft</w:t>
      </w:r>
    </w:p>
    <w:p>
      <w:pPr>
        <w:pStyle w:val="Heading3"/>
      </w:pPr>
      <w:r>
        <w:t>12.1 Executive Overview</w:t>
      </w:r>
    </w:p>
    <w:p>
      <w:r>
        <w:t>The AI Platform is an independent platform layer that provides reusable AI capabilities to all business modules. Business services never communicate directly with AI providers. All AI requests flow through the AI Gateway and reusable platform components.</w:t>
      </w:r>
    </w:p>
    <w:p>
      <w:pPr>
        <w:pStyle w:val="Heading3"/>
      </w:pPr>
      <w:r>
        <w:t>12.2 AI Platform Components</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Responsibility</w:t>
            </w:r>
          </w:p>
        </w:tc>
      </w:tr>
      <w:tr>
        <w:tc>
          <w:tcPr>
            <w:tcW w:type="dxa" w:w="4320"/>
          </w:tcPr>
          <w:p>
            <w:r>
              <w:t>AI Gateway</w:t>
            </w:r>
          </w:p>
        </w:tc>
        <w:tc>
          <w:tcPr>
            <w:tcW w:type="dxa" w:w="4320"/>
          </w:tcPr>
          <w:p>
            <w:r>
              <w:t>Entry point for all AI requests</w:t>
            </w:r>
          </w:p>
        </w:tc>
      </w:tr>
      <w:tr>
        <w:tc>
          <w:tcPr>
            <w:tcW w:type="dxa" w:w="4320"/>
          </w:tcPr>
          <w:p>
            <w:r>
              <w:t>LangChain4j</w:t>
            </w:r>
          </w:p>
        </w:tc>
        <w:tc>
          <w:tcPr>
            <w:tcW w:type="dxa" w:w="4320"/>
          </w:tcPr>
          <w:p>
            <w:r>
              <w:t>AI orchestration framework</w:t>
            </w:r>
          </w:p>
        </w:tc>
      </w:tr>
      <w:tr>
        <w:tc>
          <w:tcPr>
            <w:tcW w:type="dxa" w:w="4320"/>
          </w:tcPr>
          <w:p>
            <w:r>
              <w:t>Embedding Platform</w:t>
            </w:r>
          </w:p>
        </w:tc>
        <w:tc>
          <w:tcPr>
            <w:tcW w:type="dxa" w:w="4320"/>
          </w:tcPr>
          <w:p>
            <w:r>
              <w:t>Generate and manage vector embeddings</w:t>
            </w:r>
          </w:p>
        </w:tc>
      </w:tr>
      <w:tr>
        <w:tc>
          <w:tcPr>
            <w:tcW w:type="dxa" w:w="4320"/>
          </w:tcPr>
          <w:p>
            <w:r>
              <w:t>Knowledge Platform</w:t>
            </w:r>
          </w:p>
        </w:tc>
        <w:tc>
          <w:tcPr>
            <w:tcW w:type="dxa" w:w="4320"/>
          </w:tcPr>
          <w:p>
            <w:r>
              <w:t>Enterprise knowledge ingestion and retrieval</w:t>
            </w:r>
          </w:p>
        </w:tc>
      </w:tr>
      <w:tr>
        <w:tc>
          <w:tcPr>
            <w:tcW w:type="dxa" w:w="4320"/>
          </w:tcPr>
          <w:p>
            <w:r>
              <w:t>RAG Platform</w:t>
            </w:r>
          </w:p>
        </w:tc>
        <w:tc>
          <w:tcPr>
            <w:tcW w:type="dxa" w:w="4320"/>
          </w:tcPr>
          <w:p>
            <w:r>
              <w:t>Ground responses using enterprise data</w:t>
            </w:r>
          </w:p>
        </w:tc>
      </w:tr>
      <w:tr>
        <w:tc>
          <w:tcPr>
            <w:tcW w:type="dxa" w:w="4320"/>
          </w:tcPr>
          <w:p>
            <w:r>
              <w:t>Search Platform</w:t>
            </w:r>
          </w:p>
        </w:tc>
        <w:tc>
          <w:tcPr>
            <w:tcW w:type="dxa" w:w="4320"/>
          </w:tcPr>
          <w:p>
            <w:r>
              <w:t>Hybrid SQL + Full-Text + Vector search</w:t>
            </w:r>
          </w:p>
        </w:tc>
      </w:tr>
      <w:tr>
        <w:tc>
          <w:tcPr>
            <w:tcW w:type="dxa" w:w="4320"/>
          </w:tcPr>
          <w:p>
            <w:r>
              <w:t>Prompt Platform</w:t>
            </w:r>
          </w:p>
        </w:tc>
        <w:tc>
          <w:tcPr>
            <w:tcW w:type="dxa" w:w="4320"/>
          </w:tcPr>
          <w:p>
            <w:r>
              <w:t>Versioned prompt templates</w:t>
            </w:r>
          </w:p>
        </w:tc>
      </w:tr>
      <w:tr>
        <w:tc>
          <w:tcPr>
            <w:tcW w:type="dxa" w:w="4320"/>
          </w:tcPr>
          <w:p>
            <w:r>
              <w:t>Memory Platform</w:t>
            </w:r>
          </w:p>
        </w:tc>
        <w:tc>
          <w:tcPr>
            <w:tcW w:type="dxa" w:w="4320"/>
          </w:tcPr>
          <w:p>
            <w:r>
              <w:t>Conversation and long-term memory</w:t>
            </w:r>
          </w:p>
        </w:tc>
      </w:tr>
      <w:tr>
        <w:tc>
          <w:tcPr>
            <w:tcW w:type="dxa" w:w="4320"/>
          </w:tcPr>
          <w:p>
            <w:r>
              <w:t>Agent Platform</w:t>
            </w:r>
          </w:p>
        </w:tc>
        <w:tc>
          <w:tcPr>
            <w:tcW w:type="dxa" w:w="4320"/>
          </w:tcPr>
          <w:p>
            <w:r>
              <w:t>AI agents and tool execution</w:t>
            </w:r>
          </w:p>
        </w:tc>
      </w:tr>
      <w:tr>
        <w:tc>
          <w:tcPr>
            <w:tcW w:type="dxa" w:w="4320"/>
          </w:tcPr>
          <w:p>
            <w:r>
              <w:t>Model Registry</w:t>
            </w:r>
          </w:p>
        </w:tc>
        <w:tc>
          <w:tcPr>
            <w:tcW w:type="dxa" w:w="4320"/>
          </w:tcPr>
          <w:p>
            <w:r>
              <w:t>Provider/model metadata</w:t>
            </w:r>
          </w:p>
        </w:tc>
      </w:tr>
      <w:tr>
        <w:tc>
          <w:tcPr>
            <w:tcW w:type="dxa" w:w="4320"/>
          </w:tcPr>
          <w:p>
            <w:r>
              <w:t>AI Evaluation</w:t>
            </w:r>
          </w:p>
        </w:tc>
        <w:tc>
          <w:tcPr>
            <w:tcW w:type="dxa" w:w="4320"/>
          </w:tcPr>
          <w:p>
            <w:r>
              <w:t>Response quality assessment</w:t>
            </w:r>
          </w:p>
        </w:tc>
      </w:tr>
      <w:tr>
        <w:tc>
          <w:tcPr>
            <w:tcW w:type="dxa" w:w="4320"/>
          </w:tcPr>
          <w:p>
            <w:r>
              <w:t>AI Guardrails</w:t>
            </w:r>
          </w:p>
        </w:tc>
        <w:tc>
          <w:tcPr>
            <w:tcW w:type="dxa" w:w="4320"/>
          </w:tcPr>
          <w:p>
            <w:r>
              <w:t>Safety, validation and policy enforcement</w:t>
            </w:r>
          </w:p>
        </w:tc>
      </w:tr>
      <w:tr>
        <w:tc>
          <w:tcPr>
            <w:tcW w:type="dxa" w:w="4320"/>
          </w:tcPr>
          <w:p>
            <w:r>
              <w:t>AI Cost Management</w:t>
            </w:r>
          </w:p>
        </w:tc>
        <w:tc>
          <w:tcPr>
            <w:tcW w:type="dxa" w:w="4320"/>
          </w:tcPr>
          <w:p>
            <w:r>
              <w:t>Usage and cost governance</w:t>
            </w:r>
          </w:p>
        </w:tc>
      </w:tr>
    </w:tbl>
    <w:p>
      <w:pPr>
        <w:pStyle w:val="Heading3"/>
      </w:pPr>
      <w:r>
        <w:t>12.3 End-to-End AI Request Flow</w:t>
      </w:r>
    </w:p>
    <w:p>
      <w:r>
        <w:t>Client</w:t>
        <w:br/>
        <w:t>↓</w:t>
        <w:br/>
        <w:t>Business Service</w:t>
        <w:br/>
        <w:t>↓</w:t>
        <w:br/>
        <w:t>AI Gateway</w:t>
        <w:br/>
        <w:t>↓</w:t>
        <w:br/>
        <w:t>Prompt Platform</w:t>
        <w:br/>
        <w:t>↓</w:t>
        <w:br/>
        <w:t>LangChain4j</w:t>
        <w:br/>
        <w:t>↓</w:t>
        <w:br/>
        <w:t>Memory Platform</w:t>
        <w:br/>
        <w:t>↓</w:t>
        <w:br/>
        <w:t>Knowledge Platform / Search Platform</w:t>
        <w:br/>
        <w:t>↓</w:t>
        <w:br/>
        <w:t>Embedding Platform (when required)</w:t>
        <w:br/>
        <w:t>↓</w:t>
        <w:br/>
        <w:t>Model Registry</w:t>
        <w:br/>
        <w:t>↓</w:t>
        <w:br/>
        <w:t>LLM Provider</w:t>
        <w:br/>
        <w:t>↓</w:t>
        <w:br/>
        <w:t>AI Guardrails</w:t>
        <w:br/>
        <w:t>↓</w:t>
        <w:br/>
        <w:t>Business Service</w:t>
        <w:br/>
        <w:t>↓</w:t>
        <w:br/>
        <w:t>Client</w:t>
      </w:r>
    </w:p>
    <w:p>
      <w:pPr>
        <w:pStyle w:val="Heading3"/>
      </w:pPr>
      <w:r>
        <w:t>12.4 AI Design Principles</w:t>
      </w:r>
    </w:p>
    <w:p>
      <w:pPr>
        <w:pStyle w:val="ListBullet"/>
      </w:pPr>
      <w:r>
        <w:t>Business logic remains outside AI components.</w:t>
      </w:r>
    </w:p>
    <w:p>
      <w:pPr>
        <w:pStyle w:val="ListBullet"/>
      </w:pPr>
      <w:r>
        <w:t>AI providers are replaceable.</w:t>
      </w:r>
    </w:p>
    <w:p>
      <w:pPr>
        <w:pStyle w:val="ListBullet"/>
      </w:pPr>
      <w:r>
        <w:t>Embeddings are treated as reusable platform assets.</w:t>
      </w:r>
    </w:p>
    <w:p>
      <w:pPr>
        <w:pStyle w:val="ListBullet"/>
      </w:pPr>
      <w:r>
        <w:t>Knowledge retrieval precedes LLM generation for enterprise answers.</w:t>
      </w:r>
    </w:p>
    <w:p>
      <w:pPr>
        <w:pStyle w:val="ListBullet"/>
      </w:pPr>
      <w:r>
        <w:t>Every AI request is monitored, audited, and cost-tracked.</w:t>
      </w:r>
    </w:p>
    <w:p>
      <w:pPr>
        <w:pStyle w:val="Heading3"/>
      </w:pPr>
      <w:r>
        <w:t>12.5 Integration Points</w:t>
      </w:r>
    </w:p>
    <w:p>
      <w:r>
        <w:t>Business modules integrate with the AI Platform through internal APIs. The AI Platform integrates with PostgreSQL, pgvector, Redis, external AI providers, and observability tooling while remaining isolated from business rules.</w:t>
      </w:r>
    </w:p>
    <w:p>
      <w:pPr>
        <w:pStyle w:val="Heading3"/>
      </w:pPr>
      <w:r>
        <w:t>12.6 Summary</w:t>
      </w:r>
    </w:p>
    <w:p>
      <w:r>
        <w:t>The AI Platform provides a reusable, provider-independent foundation for conversational AI, semantic search, recommendations, workflow assistance, and intelligent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