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ARCH-001 v2 - Enterprise Architecture Master Specification</w:t>
      </w:r>
    </w:p>
    <w:p>
      <w:pPr>
        <w:pStyle w:val="Heading2"/>
      </w:pPr>
      <w:r>
        <w:t>Chapter 14 - Security Architecture</w:t>
      </w:r>
    </w:p>
    <w:p>
      <w:r>
        <w:rPr>
          <w:b/>
        </w:rPr>
        <w:t xml:space="preserve">Version: </w:t>
      </w:r>
      <w:r>
        <w:t>2.0</w:t>
        <w:br/>
      </w:r>
      <w:r>
        <w:rPr>
          <w:b/>
        </w:rPr>
        <w:t xml:space="preserve">Status: </w:t>
      </w:r>
      <w:r>
        <w:t>Working Draft</w:t>
      </w:r>
    </w:p>
    <w:p>
      <w:pPr>
        <w:pStyle w:val="Heading3"/>
      </w:pPr>
      <w:r>
        <w:t>14.1 Executive Overview</w:t>
      </w:r>
    </w:p>
    <w:p>
      <w:r>
        <w:t>The Security Architecture defines how the platform protects users, tenants, data, APIs, AI capabilities, and infrastructure. It applies defense-in-depth across authentication, authorization, encryption, auditing, and operational security.</w:t>
      </w:r>
    </w:p>
    <w:p>
      <w:pPr>
        <w:pStyle w:val="Heading3"/>
      </w:pPr>
      <w:r>
        <w:t>14.2 Security Layers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 / Control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Identity</w:t>
            </w:r>
          </w:p>
        </w:tc>
        <w:tc>
          <w:tcPr>
            <w:tcW w:type="dxa" w:w="2880"/>
          </w:tcPr>
          <w:p>
            <w:r>
              <w:t>Spring Security + JWT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</w:tr>
      <w:tr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RBAC</w:t>
            </w:r>
          </w:p>
        </w:tc>
        <w:tc>
          <w:tcPr>
            <w:tcW w:type="dxa" w:w="2880"/>
          </w:tcPr>
          <w:p>
            <w:r>
              <w:t>Role-based access control</w:t>
            </w:r>
          </w:p>
        </w:tc>
      </w:tr>
      <w:tr>
        <w:tc>
          <w:tcPr>
            <w:tcW w:type="dxa" w:w="2880"/>
          </w:tcPr>
          <w:p>
            <w:r>
              <w:t>Tenant Isolation</w:t>
            </w:r>
          </w:p>
        </w:tc>
        <w:tc>
          <w:tcPr>
            <w:tcW w:type="dxa" w:w="2880"/>
          </w:tcPr>
          <w:p>
            <w:r>
              <w:t>Tenant Context</w:t>
            </w:r>
          </w:p>
        </w:tc>
        <w:tc>
          <w:tcPr>
            <w:tcW w:type="dxa" w:w="2880"/>
          </w:tcPr>
          <w:p>
            <w:r>
              <w:t>Prevent cross-tenant access</w:t>
            </w:r>
          </w:p>
        </w:tc>
      </w:tr>
      <w:tr>
        <w:tc>
          <w:tcPr>
            <w:tcW w:type="dxa" w:w="2880"/>
          </w:tcPr>
          <w:p>
            <w:r>
              <w:t>Transport</w:t>
            </w:r>
          </w:p>
        </w:tc>
        <w:tc>
          <w:tcPr>
            <w:tcW w:type="dxa" w:w="2880"/>
          </w:tcPr>
          <w:p>
            <w:r>
              <w:t>HTTPS/TLS</w:t>
            </w:r>
          </w:p>
        </w:tc>
        <w:tc>
          <w:tcPr>
            <w:tcW w:type="dxa" w:w="2880"/>
          </w:tcPr>
          <w:p>
            <w:r>
              <w:t>Encrypt network traffic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Database Encryption</w:t>
            </w:r>
          </w:p>
        </w:tc>
        <w:tc>
          <w:tcPr>
            <w:tcW w:type="dxa" w:w="2880"/>
          </w:tcPr>
          <w:p>
            <w:r>
              <w:t>Protect stored information</w:t>
            </w:r>
          </w:p>
        </w:tc>
      </w:tr>
      <w:tr>
        <w:tc>
          <w:tcPr>
            <w:tcW w:type="dxa" w:w="2880"/>
          </w:tcPr>
          <w:p>
            <w:r>
              <w:t>Secrets</w:t>
            </w:r>
          </w:p>
        </w:tc>
        <w:tc>
          <w:tcPr>
            <w:tcW w:type="dxa" w:w="2880"/>
          </w:tcPr>
          <w:p>
            <w:r>
              <w:t>Environment/Vault</w:t>
            </w:r>
          </w:p>
        </w:tc>
        <w:tc>
          <w:tcPr>
            <w:tcW w:type="dxa" w:w="2880"/>
          </w:tcPr>
          <w:p>
            <w:r>
              <w:t>Secure credentials</w:t>
            </w:r>
          </w:p>
        </w:tc>
      </w:tr>
      <w:tr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>AI Guardrails</w:t>
            </w:r>
          </w:p>
        </w:tc>
        <w:tc>
          <w:tcPr>
            <w:tcW w:type="dxa" w:w="2880"/>
          </w:tcPr>
          <w:p>
            <w:r>
              <w:t>Prompt, PII and policy protection</w:t>
            </w:r>
          </w:p>
        </w:tc>
      </w:tr>
      <w:tr>
        <w:tc>
          <w:tcPr>
            <w:tcW w:type="dxa" w:w="2880"/>
          </w:tcPr>
          <w:p>
            <w:r>
              <w:t>Audit</w:t>
            </w:r>
          </w:p>
        </w:tc>
        <w:tc>
          <w:tcPr>
            <w:tcW w:type="dxa" w:w="2880"/>
          </w:tcPr>
          <w:p>
            <w:r>
              <w:t>Audit Logs</w:t>
            </w:r>
          </w:p>
        </w:tc>
        <w:tc>
          <w:tcPr>
            <w:tcW w:type="dxa" w:w="2880"/>
          </w:tcPr>
          <w:p>
            <w:r>
              <w:t>Trace security events</w:t>
            </w:r>
          </w:p>
        </w:tc>
      </w:tr>
    </w:tbl>
    <w:p>
      <w:pPr>
        <w:pStyle w:val="Heading3"/>
      </w:pPr>
      <w:r>
        <w:t>14.3 Authentication Flow</w:t>
      </w:r>
    </w:p>
    <w:p>
      <w:r>
        <w:t>User</w:t>
        <w:br/>
        <w:t>↓</w:t>
        <w:br/>
        <w:t>Login API</w:t>
        <w:br/>
        <w:t>↓</w:t>
        <w:br/>
        <w:t>Spring Security</w:t>
        <w:br/>
        <w:t>↓</w:t>
        <w:br/>
        <w:t>JWT Issued</w:t>
        <w:br/>
        <w:t>↓</w:t>
        <w:br/>
        <w:t>Authenticated Requests</w:t>
        <w:br/>
        <w:t>↓</w:t>
        <w:br/>
        <w:t>Authorization</w:t>
        <w:br/>
        <w:t>↓</w:t>
        <w:br/>
        <w:t>Business Service</w:t>
      </w:r>
    </w:p>
    <w:p>
      <w:pPr>
        <w:pStyle w:val="Heading3"/>
      </w:pPr>
      <w:r>
        <w:t>14.4 Security Principles</w:t>
      </w:r>
    </w:p>
    <w:p>
      <w:pPr>
        <w:pStyle w:val="ListBullet"/>
      </w:pPr>
      <w:r>
        <w:t>Least privilege access.</w:t>
      </w:r>
    </w:p>
    <w:p>
      <w:pPr>
        <w:pStyle w:val="ListBullet"/>
      </w:pPr>
      <w:r>
        <w:t>Every request is authenticated.</w:t>
      </w:r>
    </w:p>
    <w:p>
      <w:pPr>
        <w:pStyle w:val="ListBullet"/>
      </w:pPr>
      <w:r>
        <w:t>Every business operation is authorized.</w:t>
      </w:r>
    </w:p>
    <w:p>
      <w:pPr>
        <w:pStyle w:val="ListBullet"/>
      </w:pPr>
      <w:r>
        <w:t>Sensitive data is encrypted in transit.</w:t>
      </w:r>
    </w:p>
    <w:p>
      <w:pPr>
        <w:pStyle w:val="ListBullet"/>
      </w:pPr>
      <w:r>
        <w:t>Critical operations are audited.</w:t>
      </w:r>
    </w:p>
    <w:p>
      <w:pPr>
        <w:pStyle w:val="ListBullet"/>
      </w:pPr>
      <w:r>
        <w:t>AI requests pass through Guardrails.</w:t>
      </w:r>
    </w:p>
    <w:p>
      <w:pPr>
        <w:pStyle w:val="ListBullet"/>
      </w:pPr>
      <w:r>
        <w:t>Tenant isolation is mandatory.</w:t>
      </w:r>
    </w:p>
    <w:p>
      <w:pPr>
        <w:pStyle w:val="Heading3"/>
      </w:pPr>
      <w:r>
        <w:t>14.5 Security Monitoring</w:t>
      </w:r>
    </w:p>
    <w:p>
      <w:pPr>
        <w:pStyle w:val="ListBullet"/>
      </w:pPr>
      <w:r>
        <w:t>Authentication failures</w:t>
      </w:r>
    </w:p>
    <w:p>
      <w:pPr>
        <w:pStyle w:val="ListBullet"/>
      </w:pPr>
      <w:r>
        <w:t>Authorization failures</w:t>
      </w:r>
    </w:p>
    <w:p>
      <w:pPr>
        <w:pStyle w:val="ListBullet"/>
      </w:pPr>
      <w:r>
        <w:t>Suspicious login attempts</w:t>
      </w:r>
    </w:p>
    <w:p>
      <w:pPr>
        <w:pStyle w:val="ListBullet"/>
      </w:pPr>
      <w:r>
        <w:t>Audit events</w:t>
      </w:r>
    </w:p>
    <w:p>
      <w:pPr>
        <w:pStyle w:val="ListBullet"/>
      </w:pPr>
      <w:r>
        <w:t>Guardrail violations</w:t>
      </w:r>
    </w:p>
    <w:p>
      <w:pPr>
        <w:pStyle w:val="ListBullet"/>
      </w:pPr>
      <w:r>
        <w:t>Rate-limit violations</w:t>
      </w:r>
    </w:p>
    <w:p>
      <w:pPr>
        <w:pStyle w:val="ListBullet"/>
      </w:pPr>
      <w:r>
        <w:t>Security alerts</w:t>
      </w:r>
    </w:p>
    <w:p>
      <w:pPr>
        <w:pStyle w:val="Heading3"/>
      </w:pPr>
      <w:r>
        <w:t>14.6 Summary</w:t>
      </w:r>
    </w:p>
    <w:p>
      <w:r>
        <w:t>The platform security model combines identity management, authorization, encryption, auditing, and AI guardrails to provide enterprise-grade protection while supporting multi-tenant SaaS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