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DB-006 - Enterprise Partitioning Standards</w:t>
      </w:r>
    </w:p>
    <w:p>
      <w:r>
        <w:t>Version: 1.0</w:t>
        <w:br/>
        <w:t>Status: Frozen Baseline</w:t>
      </w:r>
    </w:p>
    <w:p>
      <w:pPr>
        <w:pStyle w:val="Heading2"/>
      </w:pPr>
      <w:r>
        <w:t>1. Purpose</w:t>
      </w:r>
    </w:p>
    <w:p>
      <w:pPr>
        <w:pStyle w:val="ListBullet"/>
      </w:pPr>
      <w:r>
        <w:t>Define table partitioning standards for scalability.</w:t>
      </w:r>
    </w:p>
    <w:p>
      <w:pPr>
        <w:pStyle w:val="ListBullet"/>
      </w:pPr>
      <w:r>
        <w:t>Reduce maintenance cost for large datasets.</w:t>
      </w:r>
    </w:p>
    <w:p>
      <w:pPr>
        <w:pStyle w:val="ListBullet"/>
      </w:pPr>
      <w:r>
        <w:t>Improve query performance and archival.</w:t>
      </w:r>
    </w:p>
    <w:p>
      <w:pPr>
        <w:pStyle w:val="Heading2"/>
      </w:pPr>
      <w:r>
        <w:t>2. Partitioning Principles</w:t>
      </w:r>
    </w:p>
    <w:p>
      <w:pPr>
        <w:pStyle w:val="ListBullet"/>
      </w:pPr>
      <w:r>
        <w:t>Partition only large or fast-growing tables.</w:t>
      </w:r>
    </w:p>
    <w:p>
      <w:pPr>
        <w:pStyle w:val="ListBullet"/>
      </w:pPr>
      <w:r>
        <w:t>Choose partition keys based on access patterns.</w:t>
      </w:r>
    </w:p>
    <w:p>
      <w:pPr>
        <w:pStyle w:val="ListBullet"/>
      </w:pPr>
      <w:r>
        <w:t>Avoid unnecessary partitioning of small tables.</w:t>
      </w:r>
    </w:p>
    <w:p>
      <w:pPr>
        <w:pStyle w:val="Heading2"/>
      </w:pPr>
      <w:r>
        <w:t>3. Candidate Tables</w:t>
      </w:r>
    </w:p>
    <w:p>
      <w:pPr>
        <w:pStyle w:val="ListBullet"/>
      </w:pPr>
      <w:r>
        <w:t>conversation_messages</w:t>
      </w:r>
    </w:p>
    <w:p>
      <w:pPr>
        <w:pStyle w:val="ListBullet"/>
      </w:pPr>
      <w:r>
        <w:t>audit_logs</w:t>
      </w:r>
    </w:p>
    <w:p>
      <w:pPr>
        <w:pStyle w:val="ListBullet"/>
      </w:pPr>
      <w:r>
        <w:t>notification_delivery_attempts</w:t>
      </w:r>
    </w:p>
    <w:p>
      <w:pPr>
        <w:pStyle w:val="ListBullet"/>
      </w:pPr>
      <w:r>
        <w:t>ai_requests</w:t>
      </w:r>
    </w:p>
    <w:p>
      <w:pPr>
        <w:pStyle w:val="ListBullet"/>
      </w:pPr>
      <w:r>
        <w:t>agent_executions</w:t>
      </w:r>
    </w:p>
    <w:p>
      <w:pPr>
        <w:pStyle w:val="ListBullet"/>
      </w:pPr>
      <w:r>
        <w:t>workflow_history</w:t>
      </w:r>
    </w:p>
    <w:p>
      <w:pPr>
        <w:pStyle w:val="ListBullet"/>
      </w:pPr>
      <w:r>
        <w:t>analytics_events</w:t>
      </w:r>
    </w:p>
    <w:p>
      <w:pPr>
        <w:pStyle w:val="Heading2"/>
      </w:pPr>
      <w:r>
        <w:t>4. Partition Strategies</w:t>
      </w:r>
    </w:p>
    <w:p>
      <w:pPr>
        <w:pStyle w:val="ListBullet"/>
      </w:pPr>
      <w:r>
        <w:t>RANGE by created_at for time-series data.</w:t>
      </w:r>
    </w:p>
    <w:p>
      <w:pPr>
        <w:pStyle w:val="ListBullet"/>
      </w:pPr>
      <w:r>
        <w:t>LIST by tenant_id only for special isolation requirements.</w:t>
      </w:r>
    </w:p>
    <w:p>
      <w:pPr>
        <w:pStyle w:val="ListBullet"/>
      </w:pPr>
      <w:r>
        <w:t>HASH only when balanced distribution is required.</w:t>
      </w:r>
    </w:p>
    <w:p>
      <w:pPr>
        <w:pStyle w:val="Heading2"/>
      </w:pPr>
      <w:r>
        <w:t>5. Retention Policy</w:t>
      </w:r>
    </w:p>
    <w:p>
      <w:pPr>
        <w:pStyle w:val="ListBullet"/>
      </w:pPr>
      <w:r>
        <w:t>Keep operational partitions online.</w:t>
      </w:r>
    </w:p>
    <w:p>
      <w:pPr>
        <w:pStyle w:val="ListBullet"/>
      </w:pPr>
      <w:r>
        <w:t>Archive historical partitions.</w:t>
      </w:r>
    </w:p>
    <w:p>
      <w:pPr>
        <w:pStyle w:val="ListBullet"/>
      </w:pPr>
      <w:r>
        <w:t>Drop expired partitions only after retention approval.</w:t>
      </w:r>
    </w:p>
    <w:p>
      <w:pPr>
        <w:pStyle w:val="Heading2"/>
      </w:pPr>
      <w:r>
        <w:t>6. Maintenance</w:t>
      </w:r>
    </w:p>
    <w:p>
      <w:pPr>
        <w:pStyle w:val="ListBullet"/>
      </w:pPr>
      <w:r>
        <w:t>Create future partitions automatically.</w:t>
      </w:r>
    </w:p>
    <w:p>
      <w:pPr>
        <w:pStyle w:val="ListBullet"/>
      </w:pPr>
      <w:r>
        <w:t>Monitor partition pruning.</w:t>
      </w:r>
    </w:p>
    <w:p>
      <w:pPr>
        <w:pStyle w:val="ListBullet"/>
      </w:pPr>
      <w:r>
        <w:t>VACUUM and ANALYZE active partitions.</w:t>
      </w:r>
    </w:p>
    <w:p>
      <w:pPr>
        <w:pStyle w:val="ListBullet"/>
      </w:pPr>
      <w:r>
        <w:t>Rebuild indexes only where necessary.</w:t>
      </w:r>
    </w:p>
    <w:p>
      <w:pPr>
        <w:pStyle w:val="Heading2"/>
      </w:pPr>
      <w:r>
        <w:t>7. Indexing</w:t>
      </w:r>
    </w:p>
    <w:p>
      <w:pPr>
        <w:pStyle w:val="ListBullet"/>
      </w:pPr>
      <w:r>
        <w:t>Indexes should exist on each partition.</w:t>
      </w:r>
    </w:p>
    <w:p>
      <w:pPr>
        <w:pStyle w:val="ListBullet"/>
      </w:pPr>
      <w:r>
        <w:t>HNSW indexes for partitioned vector tables when applicable.</w:t>
      </w:r>
    </w:p>
    <w:p>
      <w:pPr>
        <w:pStyle w:val="ListBullet"/>
      </w:pPr>
      <w:r>
        <w:t>Review partition-specific index usage.</w:t>
      </w:r>
    </w:p>
    <w:p>
      <w:pPr>
        <w:pStyle w:val="Heading2"/>
      </w:pPr>
      <w:r>
        <w:t>8. Monitoring</w:t>
      </w:r>
    </w:p>
    <w:p>
      <w:pPr>
        <w:pStyle w:val="ListBullet"/>
      </w:pPr>
      <w:r>
        <w:t>Track partition growth.</w:t>
      </w:r>
    </w:p>
    <w:p>
      <w:pPr>
        <w:pStyle w:val="ListBullet"/>
      </w:pPr>
      <w:r>
        <w:t>Monitor query pruning efficiency.</w:t>
      </w:r>
    </w:p>
    <w:p>
      <w:pPr>
        <w:pStyle w:val="ListBullet"/>
      </w:pPr>
      <w:r>
        <w:t>Alert on missing future partitions.</w:t>
      </w:r>
    </w:p>
    <w:p>
      <w:pPr>
        <w:pStyle w:val="Heading2"/>
      </w:pPr>
      <w:r>
        <w:t>9. Best Practices</w:t>
      </w:r>
    </w:p>
    <w:p>
      <w:pPr>
        <w:pStyle w:val="ListBullet"/>
      </w:pPr>
      <w:r>
        <w:t>Avoid cross-partition scans.</w:t>
      </w:r>
    </w:p>
    <w:p>
      <w:pPr>
        <w:pStyle w:val="ListBullet"/>
      </w:pPr>
      <w:r>
        <w:t>Use date filters in reporting queries.</w:t>
      </w:r>
    </w:p>
    <w:p>
      <w:pPr>
        <w:pStyle w:val="ListBullet"/>
      </w:pPr>
      <w:r>
        <w:t>Test partition strategy with production-scale data.</w:t>
      </w:r>
    </w:p>
    <w:p>
      <w:pPr>
        <w:pStyle w:val="Heading2"/>
      </w:pPr>
      <w:r>
        <w:t>10. Next Deliverable</w:t>
      </w:r>
    </w:p>
    <w:p>
      <w:r>
        <w:t>DB-007 - JSONB Standards defines JSONB schema design, indexing, validation, and querying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